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141" w:line="560" w:lineRule="exact"/>
        <w:jc w:val="center"/>
        <w:textAlignment w:val="baseline"/>
        <w:outlineLvl w:val="0"/>
        <w:rPr>
          <w:rFonts w:hint="eastAsia" w:asciiTheme="majorEastAsia" w:hAnsiTheme="majorEastAsia" w:eastAsiaTheme="majorEastAsia" w:cstheme="majorEastAsia"/>
          <w:b/>
          <w:bCs/>
          <w:spacing w:val="-3"/>
          <w:sz w:val="36"/>
          <w:szCs w:val="36"/>
        </w:rPr>
      </w:pPr>
      <w:r>
        <w:rPr>
          <w:rFonts w:hint="eastAsia" w:asciiTheme="majorEastAsia" w:hAnsiTheme="majorEastAsia" w:eastAsiaTheme="majorEastAsia" w:cstheme="majorEastAsia"/>
          <w:b/>
          <w:bCs/>
          <w:spacing w:val="-3"/>
          <w:sz w:val="36"/>
          <w:szCs w:val="36"/>
          <w:lang w:val="en-US" w:eastAsia="zh-CN"/>
        </w:rPr>
        <w:t>2023年度会计师事务所</w:t>
      </w:r>
      <w:r>
        <w:rPr>
          <w:rFonts w:hint="eastAsia" w:asciiTheme="majorEastAsia" w:hAnsiTheme="majorEastAsia" w:eastAsiaTheme="majorEastAsia" w:cstheme="majorEastAsia"/>
          <w:b/>
          <w:bCs/>
          <w:spacing w:val="-3"/>
          <w:sz w:val="36"/>
          <w:szCs w:val="36"/>
        </w:rPr>
        <w:t>履职情况评估</w:t>
      </w:r>
    </w:p>
    <w:p>
      <w:pPr>
        <w:keepNext w:val="0"/>
        <w:keepLines w:val="0"/>
        <w:pageBreakBefore w:val="0"/>
        <w:widowControl/>
        <w:kinsoku w:val="0"/>
        <w:wordWrap/>
        <w:overflowPunct/>
        <w:topLinePunct w:val="0"/>
        <w:autoSpaceDE w:val="0"/>
        <w:autoSpaceDN w:val="0"/>
        <w:bidi w:val="0"/>
        <w:adjustRightInd w:val="0"/>
        <w:snapToGrid w:val="0"/>
        <w:spacing w:before="141" w:line="560" w:lineRule="exact"/>
        <w:jc w:val="center"/>
        <w:textAlignment w:val="baseline"/>
        <w:outlineLvl w:val="0"/>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pacing w:val="-3"/>
          <w:sz w:val="36"/>
          <w:szCs w:val="36"/>
          <w:lang w:val="en-US" w:eastAsia="zh-CN"/>
        </w:rPr>
        <w:t>及审计委员会履行监督职责情况报告</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i w:val="0"/>
          <w:iCs w:val="0"/>
          <w:caps w:val="0"/>
          <w:spacing w:val="0"/>
          <w:sz w:val="32"/>
          <w:szCs w:val="32"/>
          <w:shd w:val="clear" w:fill="FFFFFF"/>
          <w:lang w:val="en-US" w:eastAsia="zh-CN"/>
        </w:rPr>
      </w:pPr>
      <w:r>
        <w:rPr>
          <w:rFonts w:hint="eastAsia" w:ascii="仿宋" w:hAnsi="仿宋" w:eastAsia="仿宋" w:cs="仿宋"/>
          <w:i w:val="0"/>
          <w:iCs w:val="0"/>
          <w:caps w:val="0"/>
          <w:spacing w:val="0"/>
          <w:sz w:val="32"/>
          <w:szCs w:val="32"/>
          <w:shd w:val="clear" w:fill="FFFFFF"/>
          <w:lang w:val="en-US" w:eastAsia="zh-CN"/>
        </w:rPr>
        <w:t>根据《公司法》《证券法》《国有企业、上市公司选聘会计师事务所管理办法》等有关规定，深圳市特力（集团）股份有限公司（以下简称“公司”）董事会审计委员会本着勤勉尽责的原则，对致同会计师事务所（特殊普通合伙）（以下简称“致同会计师事务所”）2023年度履职进行了评估。现将董事会审计委员会对致同会计师事务所2023年度的履职情况评估及审计委员会履行监督职责的情况报告如下：</w:t>
      </w:r>
    </w:p>
    <w:p>
      <w:pPr>
        <w:pStyle w:val="3"/>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outlineLvl w:val="0"/>
        <w:rPr>
          <w:rFonts w:hint="eastAsia" w:ascii="黑体" w:hAnsi="黑体" w:eastAsia="黑体" w:cs="黑体"/>
          <w:b w:val="0"/>
          <w:bCs w:val="0"/>
          <w:snapToGrid w:val="0"/>
          <w:color w:val="000000"/>
          <w:kern w:val="0"/>
          <w:sz w:val="32"/>
          <w:szCs w:val="32"/>
          <w:lang w:val="en-US" w:eastAsia="zh-CN" w:bidi="ar"/>
        </w:rPr>
      </w:pPr>
      <w:r>
        <w:rPr>
          <w:rFonts w:hint="eastAsia" w:ascii="黑体" w:hAnsi="黑体" w:eastAsia="黑体" w:cs="黑体"/>
          <w:b w:val="0"/>
          <w:bCs w:val="0"/>
          <w:snapToGrid w:val="0"/>
          <w:color w:val="000000"/>
          <w:kern w:val="0"/>
          <w:sz w:val="32"/>
          <w:szCs w:val="32"/>
          <w:lang w:val="en-US" w:eastAsia="zh-CN" w:bidi="ar"/>
        </w:rPr>
        <w:t>一、会计师事务所基本情况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rightChars="0" w:firstLine="624" w:firstLineChars="200"/>
        <w:jc w:val="left"/>
        <w:textAlignment w:val="baseline"/>
        <w:rPr>
          <w:rFonts w:hint="eastAsia" w:ascii="仿宋" w:hAnsi="仿宋" w:eastAsia="仿宋" w:cs="仿宋"/>
          <w:snapToGrid w:val="0"/>
          <w:color w:val="000000"/>
          <w:spacing w:val="-4"/>
          <w:kern w:val="0"/>
          <w:sz w:val="32"/>
          <w:szCs w:val="32"/>
          <w:lang w:val="en-US" w:eastAsia="zh-CN" w:bidi="ar-SA"/>
        </w:rPr>
      </w:pPr>
      <w:r>
        <w:rPr>
          <w:rFonts w:hint="eastAsia" w:ascii="楷体" w:hAnsi="楷体" w:eastAsia="楷体" w:cs="楷体"/>
          <w:snapToGrid w:val="0"/>
          <w:color w:val="000000"/>
          <w:spacing w:val="-4"/>
          <w:kern w:val="0"/>
          <w:sz w:val="32"/>
          <w:szCs w:val="32"/>
          <w:lang w:val="en-US" w:eastAsia="zh-CN" w:bidi="ar-SA"/>
        </w:rPr>
        <w:t>（一）基本信息</w:t>
      </w:r>
      <w:r>
        <w:rPr>
          <w:rFonts w:hint="eastAsia" w:ascii="仿宋" w:hAnsi="仿宋" w:eastAsia="仿宋" w:cs="仿宋"/>
          <w:snapToGrid w:val="0"/>
          <w:color w:val="000000"/>
          <w:spacing w:val="-4"/>
          <w:kern w:val="0"/>
          <w:sz w:val="32"/>
          <w:szCs w:val="32"/>
          <w:lang w:val="en-US" w:eastAsia="zh-CN" w:bidi="ar-SA"/>
        </w:rPr>
        <w:t xml:space="preserve">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rightChars="0" w:firstLine="624" w:firstLineChars="200"/>
        <w:jc w:val="left"/>
        <w:textAlignment w:val="baseline"/>
        <w:rPr>
          <w:rFonts w:hint="eastAsia" w:ascii="仿宋" w:hAnsi="仿宋" w:eastAsia="仿宋" w:cs="仿宋"/>
          <w:snapToGrid w:val="0"/>
          <w:color w:val="000000"/>
          <w:spacing w:val="-4"/>
          <w:kern w:val="0"/>
          <w:sz w:val="32"/>
          <w:szCs w:val="32"/>
          <w:lang w:val="en-US" w:eastAsia="zh-CN" w:bidi="ar-SA"/>
        </w:rPr>
      </w:pPr>
      <w:r>
        <w:rPr>
          <w:rFonts w:hint="eastAsia" w:ascii="仿宋" w:hAnsi="仿宋" w:eastAsia="仿宋" w:cs="仿宋"/>
          <w:snapToGrid w:val="0"/>
          <w:color w:val="000000"/>
          <w:spacing w:val="-4"/>
          <w:kern w:val="0"/>
          <w:sz w:val="32"/>
          <w:szCs w:val="32"/>
          <w:lang w:val="en-US" w:eastAsia="zh-CN" w:bidi="ar-SA"/>
        </w:rPr>
        <w:t xml:space="preserve">（1）名称：致同会计师事务所（特殊普通合伙）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rightChars="0" w:firstLine="624" w:firstLineChars="200"/>
        <w:jc w:val="left"/>
        <w:textAlignment w:val="baseline"/>
        <w:rPr>
          <w:rFonts w:hint="eastAsia" w:ascii="仿宋" w:hAnsi="仿宋" w:eastAsia="仿宋" w:cs="仿宋"/>
          <w:snapToGrid w:val="0"/>
          <w:color w:val="000000"/>
          <w:spacing w:val="-4"/>
          <w:kern w:val="0"/>
          <w:sz w:val="32"/>
          <w:szCs w:val="32"/>
          <w:lang w:val="en-US" w:eastAsia="zh-CN" w:bidi="ar-SA"/>
        </w:rPr>
      </w:pPr>
      <w:r>
        <w:rPr>
          <w:rFonts w:hint="eastAsia" w:ascii="仿宋" w:hAnsi="仿宋" w:eastAsia="仿宋" w:cs="仿宋"/>
          <w:snapToGrid w:val="0"/>
          <w:color w:val="000000"/>
          <w:spacing w:val="-4"/>
          <w:kern w:val="0"/>
          <w:sz w:val="32"/>
          <w:szCs w:val="32"/>
          <w:lang w:val="en-US" w:eastAsia="zh-CN" w:bidi="ar-SA"/>
        </w:rPr>
        <w:t xml:space="preserve">（2）成立日期： 2011年12月22日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rightChars="0" w:firstLine="624" w:firstLineChars="200"/>
        <w:jc w:val="left"/>
        <w:textAlignment w:val="baseline"/>
        <w:rPr>
          <w:rFonts w:hint="eastAsia" w:ascii="仿宋" w:hAnsi="仿宋" w:eastAsia="仿宋" w:cs="仿宋"/>
          <w:snapToGrid w:val="0"/>
          <w:color w:val="000000"/>
          <w:spacing w:val="-4"/>
          <w:kern w:val="0"/>
          <w:sz w:val="32"/>
          <w:szCs w:val="32"/>
          <w:lang w:val="en-US" w:eastAsia="zh-CN" w:bidi="ar-SA"/>
        </w:rPr>
      </w:pPr>
      <w:r>
        <w:rPr>
          <w:rFonts w:hint="eastAsia" w:ascii="仿宋" w:hAnsi="仿宋" w:eastAsia="仿宋" w:cs="仿宋"/>
          <w:snapToGrid w:val="0"/>
          <w:color w:val="000000"/>
          <w:spacing w:val="-4"/>
          <w:kern w:val="0"/>
          <w:sz w:val="32"/>
          <w:szCs w:val="32"/>
          <w:lang w:val="en-US" w:eastAsia="zh-CN" w:bidi="ar-SA"/>
        </w:rPr>
        <w:t xml:space="preserve">（3）组织形式：特殊普通合伙企业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rightChars="0" w:firstLine="624" w:firstLineChars="200"/>
        <w:jc w:val="both"/>
        <w:textAlignment w:val="baseline"/>
        <w:rPr>
          <w:rFonts w:hint="eastAsia" w:ascii="仿宋" w:hAnsi="仿宋" w:eastAsia="仿宋" w:cs="仿宋"/>
          <w:snapToGrid w:val="0"/>
          <w:color w:val="000000"/>
          <w:spacing w:val="-4"/>
          <w:kern w:val="0"/>
          <w:sz w:val="32"/>
          <w:szCs w:val="32"/>
          <w:lang w:val="en-US" w:eastAsia="zh-CN" w:bidi="ar-SA"/>
        </w:rPr>
      </w:pPr>
      <w:r>
        <w:rPr>
          <w:rFonts w:hint="eastAsia" w:ascii="仿宋" w:hAnsi="仿宋" w:eastAsia="仿宋" w:cs="仿宋"/>
          <w:snapToGrid w:val="0"/>
          <w:color w:val="000000"/>
          <w:spacing w:val="-4"/>
          <w:kern w:val="0"/>
          <w:sz w:val="32"/>
          <w:szCs w:val="32"/>
          <w:lang w:val="en-US" w:eastAsia="zh-CN" w:bidi="ar-SA"/>
        </w:rPr>
        <w:t xml:space="preserve">（4）注册地址：北京市朝阳区建国门外大街22号赛特广场五层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rightChars="0" w:firstLine="624" w:firstLineChars="200"/>
        <w:jc w:val="both"/>
        <w:textAlignment w:val="baseline"/>
        <w:rPr>
          <w:rFonts w:hint="eastAsia" w:ascii="仿宋" w:hAnsi="仿宋" w:eastAsia="仿宋" w:cs="仿宋"/>
          <w:snapToGrid w:val="0"/>
          <w:color w:val="000000"/>
          <w:spacing w:val="-4"/>
          <w:kern w:val="0"/>
          <w:sz w:val="32"/>
          <w:szCs w:val="32"/>
          <w:lang w:val="en-US" w:eastAsia="zh-CN" w:bidi="ar-SA"/>
        </w:rPr>
      </w:pPr>
      <w:r>
        <w:rPr>
          <w:rFonts w:hint="eastAsia" w:ascii="仿宋" w:hAnsi="仿宋" w:eastAsia="仿宋" w:cs="仿宋"/>
          <w:snapToGrid w:val="0"/>
          <w:color w:val="000000"/>
          <w:spacing w:val="-4"/>
          <w:kern w:val="0"/>
          <w:sz w:val="32"/>
          <w:szCs w:val="32"/>
          <w:lang w:val="en-US" w:eastAsia="zh-CN" w:bidi="ar-SA"/>
        </w:rPr>
        <w:t xml:space="preserve">（5）首席合伙人：李惠琦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rightChars="0" w:firstLine="624" w:firstLineChars="200"/>
        <w:jc w:val="both"/>
        <w:textAlignment w:val="baseline"/>
        <w:rPr>
          <w:rFonts w:hint="eastAsia" w:ascii="楷体" w:hAnsi="楷体" w:eastAsia="楷体" w:cs="楷体"/>
          <w:snapToGrid w:val="0"/>
          <w:color w:val="000000"/>
          <w:spacing w:val="-4"/>
          <w:kern w:val="0"/>
          <w:sz w:val="32"/>
          <w:szCs w:val="32"/>
          <w:lang w:val="en-US" w:eastAsia="zh-CN" w:bidi="ar-SA"/>
        </w:rPr>
      </w:pPr>
      <w:r>
        <w:rPr>
          <w:rFonts w:hint="eastAsia" w:ascii="楷体" w:hAnsi="楷体" w:eastAsia="楷体" w:cs="楷体"/>
          <w:snapToGrid w:val="0"/>
          <w:color w:val="000000"/>
          <w:spacing w:val="-4"/>
          <w:kern w:val="0"/>
          <w:sz w:val="32"/>
          <w:szCs w:val="32"/>
          <w:lang w:val="en-US" w:eastAsia="zh-CN" w:bidi="ar-SA"/>
        </w:rPr>
        <w:t>（二）聘任程序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560" w:lineRule="exact"/>
        <w:ind w:right="0" w:rightChars="0" w:firstLine="624" w:firstLineChars="200"/>
        <w:jc w:val="both"/>
        <w:textAlignment w:val="baseline"/>
        <w:rPr>
          <w:rFonts w:hint="eastAsia" w:ascii="仿宋" w:hAnsi="仿宋" w:eastAsia="仿宋" w:cs="仿宋"/>
          <w:snapToGrid w:val="0"/>
          <w:color w:val="000000"/>
          <w:spacing w:val="-4"/>
          <w:kern w:val="0"/>
          <w:sz w:val="32"/>
          <w:szCs w:val="32"/>
          <w:lang w:val="en-US" w:eastAsia="zh-CN" w:bidi="ar-SA"/>
        </w:rPr>
      </w:pPr>
      <w:r>
        <w:rPr>
          <w:rFonts w:hint="eastAsia" w:ascii="仿宋" w:hAnsi="仿宋" w:eastAsia="仿宋" w:cs="仿宋"/>
          <w:snapToGrid w:val="0"/>
          <w:color w:val="000000"/>
          <w:spacing w:val="-4"/>
          <w:kern w:val="0"/>
          <w:sz w:val="32"/>
          <w:szCs w:val="32"/>
          <w:lang w:val="en-US" w:eastAsia="zh-CN" w:bidi="ar-SA"/>
        </w:rPr>
        <w:t>公司十届董事会第十二次临时会议、2023年第二次临时股东大会审议通过了《关于拟变更会计师事务所的议案》，同意聘任致同会计师事务所为公司2023年度财务审计机构及内部控制审计机构。</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黑体" w:hAnsi="黑体" w:eastAsia="黑体" w:cs="黑体"/>
          <w:b w:val="0"/>
          <w:bCs w:val="0"/>
          <w:sz w:val="32"/>
          <w:szCs w:val="32"/>
        </w:rPr>
      </w:pPr>
      <w:r>
        <w:rPr>
          <w:rFonts w:hint="eastAsia" w:ascii="黑体" w:hAnsi="黑体" w:eastAsia="黑体" w:cs="黑体"/>
          <w:b w:val="0"/>
          <w:bCs w:val="0"/>
          <w:snapToGrid w:val="0"/>
          <w:color w:val="000000"/>
          <w:kern w:val="0"/>
          <w:sz w:val="32"/>
          <w:szCs w:val="32"/>
          <w:lang w:val="en-US" w:eastAsia="zh-CN" w:bidi="ar"/>
        </w:rPr>
        <w:t xml:space="preserve">二、2023年度会计师事务所履职情况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24" w:firstLineChars="200"/>
        <w:jc w:val="left"/>
        <w:textAlignment w:val="baseline"/>
        <w:rPr>
          <w:rFonts w:hint="eastAsia" w:ascii="仿宋" w:hAnsi="仿宋" w:eastAsia="仿宋" w:cs="仿宋"/>
          <w:snapToGrid w:val="0"/>
          <w:color w:val="000000"/>
          <w:kern w:val="0"/>
          <w:sz w:val="32"/>
          <w:szCs w:val="32"/>
          <w:highlight w:val="none"/>
          <w:lang w:val="en-US" w:eastAsia="zh-CN" w:bidi="ar"/>
        </w:rPr>
      </w:pPr>
      <w:r>
        <w:rPr>
          <w:rFonts w:hint="eastAsia" w:ascii="仿宋" w:hAnsi="仿宋" w:eastAsia="仿宋" w:cs="仿宋"/>
          <w:snapToGrid w:val="0"/>
          <w:color w:val="000000"/>
          <w:spacing w:val="-4"/>
          <w:kern w:val="0"/>
          <w:sz w:val="32"/>
          <w:szCs w:val="32"/>
          <w:lang w:val="en-US" w:eastAsia="zh-CN" w:bidi="ar-SA"/>
        </w:rPr>
        <w:t>致同会计师事务所</w:t>
      </w:r>
      <w:r>
        <w:rPr>
          <w:rFonts w:hint="eastAsia" w:ascii="仿宋" w:hAnsi="仿宋" w:eastAsia="仿宋" w:cs="仿宋"/>
          <w:snapToGrid w:val="0"/>
          <w:color w:val="000000"/>
          <w:kern w:val="0"/>
          <w:sz w:val="32"/>
          <w:szCs w:val="32"/>
          <w:highlight w:val="none"/>
          <w:lang w:val="en-US" w:eastAsia="zh-CN" w:bidi="ar"/>
        </w:rPr>
        <w:t xml:space="preserve">遵循《中国注册会计师审计准则》《企业内部控制审计指引》和其他执业规范，结合公司2023年年报工作要求，对公司2023年度财务报告及内部控制的有效性进行了审计，同时，对非经营性资金占用及其他关联资金往来情况进行核查并出具了专项说明。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sz w:val="32"/>
          <w:szCs w:val="32"/>
          <w:highlight w:val="none"/>
          <w:lang w:val="en-US" w:eastAsia="zh-CN" w:bidi="ar"/>
        </w:rPr>
      </w:pPr>
      <w:r>
        <w:rPr>
          <w:rFonts w:hint="eastAsia" w:ascii="仿宋" w:hAnsi="仿宋" w:eastAsia="仿宋" w:cs="仿宋"/>
          <w:snapToGrid w:val="0"/>
          <w:color w:val="000000"/>
          <w:kern w:val="0"/>
          <w:sz w:val="32"/>
          <w:szCs w:val="32"/>
          <w:highlight w:val="none"/>
          <w:lang w:val="en-US" w:eastAsia="zh-CN" w:bidi="ar"/>
        </w:rPr>
        <w:t>在执行审计工作的过程中，</w:t>
      </w:r>
      <w:r>
        <w:rPr>
          <w:rFonts w:hint="eastAsia" w:ascii="仿宋" w:hAnsi="仿宋" w:eastAsia="仿宋" w:cs="仿宋"/>
          <w:snapToGrid w:val="0"/>
          <w:color w:val="000000"/>
          <w:spacing w:val="-4"/>
          <w:kern w:val="0"/>
          <w:sz w:val="32"/>
          <w:szCs w:val="32"/>
          <w:lang w:val="en-US" w:eastAsia="zh-CN" w:bidi="ar-SA"/>
        </w:rPr>
        <w:t>致同会计师事务所</w:t>
      </w:r>
      <w:r>
        <w:rPr>
          <w:rFonts w:hint="eastAsia" w:ascii="仿宋" w:hAnsi="仿宋" w:eastAsia="仿宋" w:cs="仿宋"/>
          <w:snapToGrid w:val="0"/>
          <w:color w:val="000000"/>
          <w:kern w:val="0"/>
          <w:sz w:val="32"/>
          <w:szCs w:val="32"/>
          <w:highlight w:val="none"/>
          <w:lang w:val="en-US" w:eastAsia="zh-CN" w:bidi="ar"/>
        </w:rPr>
        <w:t>就会计师事务所和相关审计人员的独立性、审计工作小组的人员构成、审计计划、风险判断、风险及舞弊的测试和评价方法、年度审计重点、初审意见等与公司管理层进行了沟通，有效的提升了工作的准确性。</w:t>
      </w:r>
    </w:p>
    <w:p>
      <w:pPr>
        <w:keepNext w:val="0"/>
        <w:keepLines w:val="0"/>
        <w:pageBreakBefore w:val="0"/>
        <w:widowControl/>
        <w:numPr>
          <w:ilvl w:val="0"/>
          <w:numId w:val="1"/>
        </w:numPr>
        <w:suppressLineNumbers w:val="0"/>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黑体" w:hAnsi="黑体" w:eastAsia="黑体" w:cs="黑体"/>
          <w:b w:val="0"/>
          <w:bCs w:val="0"/>
          <w:snapToGrid w:val="0"/>
          <w:color w:val="000000"/>
          <w:kern w:val="0"/>
          <w:sz w:val="32"/>
          <w:szCs w:val="32"/>
          <w:lang w:val="en-US" w:eastAsia="zh-CN" w:bidi="ar"/>
        </w:rPr>
      </w:pPr>
      <w:r>
        <w:rPr>
          <w:rFonts w:hint="eastAsia" w:ascii="黑体" w:hAnsi="黑体" w:eastAsia="黑体" w:cs="黑体"/>
          <w:b w:val="0"/>
          <w:bCs w:val="0"/>
          <w:snapToGrid w:val="0"/>
          <w:color w:val="000000"/>
          <w:kern w:val="0"/>
          <w:sz w:val="32"/>
          <w:szCs w:val="32"/>
          <w:lang w:val="en-US" w:eastAsia="zh-CN" w:bidi="ar"/>
        </w:rPr>
        <w:t>审计委员会对会计师事务所监督情况</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24" w:firstLineChars="200"/>
        <w:jc w:val="left"/>
        <w:textAlignment w:val="baseline"/>
        <w:rPr>
          <w:rFonts w:hint="eastAsia" w:ascii="仿宋" w:hAnsi="仿宋" w:eastAsia="仿宋" w:cs="仿宋"/>
          <w:snapToGrid w:val="0"/>
          <w:color w:val="000000"/>
          <w:spacing w:val="-4"/>
          <w:kern w:val="0"/>
          <w:sz w:val="32"/>
          <w:szCs w:val="32"/>
          <w:lang w:val="en-US" w:eastAsia="zh-CN" w:bidi="ar-SA"/>
        </w:rPr>
      </w:pPr>
      <w:r>
        <w:rPr>
          <w:rFonts w:hint="eastAsia" w:ascii="仿宋" w:hAnsi="仿宋" w:eastAsia="仿宋" w:cs="仿宋"/>
          <w:snapToGrid w:val="0"/>
          <w:color w:val="000000"/>
          <w:spacing w:val="-4"/>
          <w:kern w:val="0"/>
          <w:sz w:val="32"/>
          <w:szCs w:val="32"/>
          <w:lang w:val="en-US" w:eastAsia="zh-CN" w:bidi="ar-SA"/>
        </w:rPr>
        <w:t>（一）2023年9月20日，董事会审计委员会2023年第五次会议审议通过了《关于拟变更会计师事务所的议案》，审计委员会通过审阅相关资料，对致同会计师事务所的专业胜任能力、投资者保护能力、诚信状况和独立性等信息进行了充分调研和分析论证，认为其具备从事财务审计、内部控制审计的专业资质和能力，也具备较好的投资者保护能力、良好的诚信状况及足够的独立性，同意向董事会提议聘请致同会计师事务所为公司2023年度财务审计机构及内部控制审计机构。</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24" w:firstLineChars="200"/>
        <w:jc w:val="left"/>
        <w:textAlignment w:val="baseline"/>
        <w:rPr>
          <w:rFonts w:hint="eastAsia" w:ascii="仿宋" w:hAnsi="仿宋" w:eastAsia="仿宋" w:cs="仿宋"/>
          <w:snapToGrid w:val="0"/>
          <w:color w:val="000000"/>
          <w:spacing w:val="-4"/>
          <w:kern w:val="0"/>
          <w:sz w:val="32"/>
          <w:szCs w:val="32"/>
          <w:lang w:val="en-US" w:eastAsia="zh-CN" w:bidi="ar-SA"/>
        </w:rPr>
      </w:pPr>
      <w:r>
        <w:rPr>
          <w:rFonts w:hint="eastAsia" w:ascii="仿宋" w:hAnsi="仿宋" w:eastAsia="仿宋" w:cs="仿宋"/>
          <w:snapToGrid w:val="0"/>
          <w:color w:val="000000"/>
          <w:spacing w:val="-4"/>
          <w:kern w:val="0"/>
          <w:sz w:val="32"/>
          <w:szCs w:val="32"/>
          <w:lang w:val="en-US" w:eastAsia="zh-CN" w:bidi="ar-SA"/>
        </w:rPr>
        <w:t>（二）2024年1月18日，审计委员会与负责公司审计工作的注册会计师召开审前沟通会议，对2023年度审计工作安排及重点事项进行了沟通。</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24" w:firstLineChars="200"/>
        <w:jc w:val="left"/>
        <w:textAlignment w:val="baseline"/>
        <w:rPr>
          <w:rFonts w:hint="eastAsia" w:ascii="仿宋" w:hAnsi="仿宋" w:eastAsia="仿宋" w:cs="仿宋"/>
          <w:snapToGrid w:val="0"/>
          <w:color w:val="000000"/>
          <w:spacing w:val="-4"/>
          <w:kern w:val="0"/>
          <w:sz w:val="32"/>
          <w:szCs w:val="32"/>
          <w:lang w:val="en-US" w:eastAsia="zh-CN" w:bidi="ar-SA"/>
        </w:rPr>
      </w:pPr>
      <w:r>
        <w:rPr>
          <w:rFonts w:hint="eastAsia" w:ascii="仿宋" w:hAnsi="仿宋" w:eastAsia="仿宋" w:cs="仿宋"/>
          <w:snapToGrid w:val="0"/>
          <w:color w:val="000000"/>
          <w:spacing w:val="-4"/>
          <w:kern w:val="0"/>
          <w:sz w:val="32"/>
          <w:szCs w:val="32"/>
          <w:lang w:val="en-US" w:eastAsia="zh-CN" w:bidi="ar-SA"/>
        </w:rPr>
        <w:t>（三）2024年2月22日，审计委员会与负责公司审计工作的注册会计师进行初审后沟通，对2023年度审计基本情况、关键审计事项、总体审计结论等相关事项进行了沟通。</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24" w:firstLineChars="200"/>
        <w:jc w:val="left"/>
        <w:textAlignment w:val="baseline"/>
        <w:rPr>
          <w:rFonts w:hint="eastAsia" w:ascii="仿宋" w:hAnsi="仿宋" w:eastAsia="仿宋" w:cs="仿宋"/>
          <w:snapToGrid w:val="0"/>
          <w:color w:val="000000"/>
          <w:spacing w:val="-4"/>
          <w:kern w:val="0"/>
          <w:sz w:val="32"/>
          <w:szCs w:val="32"/>
          <w:lang w:val="en-US" w:eastAsia="zh-CN" w:bidi="ar-SA"/>
        </w:rPr>
      </w:pPr>
      <w:r>
        <w:rPr>
          <w:rFonts w:hint="eastAsia" w:ascii="仿宋" w:hAnsi="仿宋" w:eastAsia="仿宋" w:cs="仿宋"/>
          <w:snapToGrid w:val="0"/>
          <w:color w:val="000000"/>
          <w:spacing w:val="-4"/>
          <w:kern w:val="0"/>
          <w:sz w:val="32"/>
          <w:szCs w:val="32"/>
          <w:lang w:val="en-US" w:eastAsia="zh-CN" w:bidi="ar-SA"/>
        </w:rPr>
        <w:t>（四）2024年3月25日，董事会审计委员会2024年第三次会议审议通过公司2023年年度报告、2023年度内部控制自我评价报告等议案并同意提交董事会审议。</w:t>
      </w:r>
    </w:p>
    <w:p>
      <w:pPr>
        <w:keepNext w:val="0"/>
        <w:keepLines w:val="0"/>
        <w:pageBreakBefore w:val="0"/>
        <w:widowControl/>
        <w:numPr>
          <w:ilvl w:val="0"/>
          <w:numId w:val="1"/>
        </w:numPr>
        <w:suppressLineNumbers w:val="0"/>
        <w:kinsoku w:val="0"/>
        <w:wordWrap/>
        <w:overflowPunct/>
        <w:topLinePunct w:val="0"/>
        <w:autoSpaceDE w:val="0"/>
        <w:autoSpaceDN w:val="0"/>
        <w:bidi w:val="0"/>
        <w:adjustRightInd w:val="0"/>
        <w:snapToGrid w:val="0"/>
        <w:spacing w:line="560" w:lineRule="exact"/>
        <w:ind w:left="0" w:leftChars="0" w:firstLine="640" w:firstLineChars="200"/>
        <w:jc w:val="left"/>
        <w:textAlignment w:val="baseline"/>
        <w:rPr>
          <w:rFonts w:hint="eastAsia" w:ascii="黑体" w:hAnsi="黑体" w:eastAsia="黑体" w:cs="黑体"/>
          <w:b w:val="0"/>
          <w:bCs w:val="0"/>
          <w:snapToGrid w:val="0"/>
          <w:color w:val="000000"/>
          <w:kern w:val="0"/>
          <w:sz w:val="32"/>
          <w:szCs w:val="32"/>
          <w:lang w:val="en-US" w:eastAsia="zh-CN" w:bidi="ar"/>
        </w:rPr>
      </w:pPr>
      <w:r>
        <w:rPr>
          <w:rFonts w:hint="eastAsia" w:ascii="黑体" w:hAnsi="黑体" w:eastAsia="黑体" w:cs="黑体"/>
          <w:b w:val="0"/>
          <w:bCs w:val="0"/>
          <w:snapToGrid w:val="0"/>
          <w:color w:val="000000"/>
          <w:kern w:val="0"/>
          <w:sz w:val="32"/>
          <w:szCs w:val="32"/>
          <w:lang w:val="en-US" w:eastAsia="zh-CN" w:bidi="ar"/>
        </w:rPr>
        <w:t>总体评价</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default" w:ascii="仿宋" w:hAnsi="仿宋" w:eastAsia="仿宋" w:cs="仿宋"/>
          <w:snapToGrid w:val="0"/>
          <w:color w:val="000000"/>
          <w:kern w:val="0"/>
          <w:sz w:val="32"/>
          <w:szCs w:val="32"/>
          <w:lang w:val="en-US" w:eastAsia="zh-CN" w:bidi="ar"/>
        </w:rPr>
      </w:pPr>
      <w:r>
        <w:rPr>
          <w:rFonts w:hint="eastAsia" w:ascii="仿宋" w:hAnsi="仿宋" w:eastAsia="仿宋" w:cs="仿宋"/>
          <w:snapToGrid w:val="0"/>
          <w:color w:val="000000"/>
          <w:kern w:val="0"/>
          <w:sz w:val="32"/>
          <w:szCs w:val="32"/>
          <w:lang w:val="en-US" w:eastAsia="zh-CN" w:bidi="ar"/>
        </w:rPr>
        <w:t>公司</w:t>
      </w:r>
      <w:r>
        <w:rPr>
          <w:rFonts w:hint="default" w:ascii="仿宋" w:hAnsi="仿宋" w:eastAsia="仿宋" w:cs="仿宋"/>
          <w:snapToGrid w:val="0"/>
          <w:color w:val="000000"/>
          <w:kern w:val="0"/>
          <w:sz w:val="32"/>
          <w:szCs w:val="32"/>
          <w:lang w:val="en-US" w:eastAsia="zh-CN" w:bidi="ar"/>
        </w:rPr>
        <w:t>董事会审计委员会严格遵守相关法律法规及《公司章程》等有关规定，对会计师事务所相关资质和执业能力等进行了审查，与会计师事务所进行了充分的讨论和沟通，督促会计师事务所及时、准确、客观、公正地出具审计报告，切实履行了审计委员会对会计师事务所的监督职责</w:t>
      </w:r>
      <w:r>
        <w:rPr>
          <w:rFonts w:hint="eastAsia" w:ascii="仿宋" w:hAnsi="仿宋" w:eastAsia="仿宋" w:cs="仿宋"/>
          <w:snapToGrid w:val="0"/>
          <w:color w:val="000000"/>
          <w:kern w:val="0"/>
          <w:sz w:val="32"/>
          <w:szCs w:val="32"/>
          <w:lang w:val="en-US" w:eastAsia="zh-CN" w:bidi="ar"/>
        </w:rPr>
        <w:t>。</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z w:val="32"/>
          <w:szCs w:val="32"/>
        </w:rPr>
      </w:pPr>
      <w:r>
        <w:rPr>
          <w:rFonts w:hint="eastAsia" w:ascii="仿宋" w:hAnsi="仿宋" w:eastAsia="仿宋" w:cs="仿宋"/>
          <w:snapToGrid w:val="0"/>
          <w:color w:val="000000"/>
          <w:kern w:val="0"/>
          <w:sz w:val="32"/>
          <w:szCs w:val="32"/>
          <w:lang w:val="en-US" w:eastAsia="zh-CN" w:bidi="ar"/>
        </w:rPr>
        <w:t>公司董事会审计委员会认为</w:t>
      </w:r>
      <w:r>
        <w:rPr>
          <w:rFonts w:hint="eastAsia" w:ascii="仿宋" w:hAnsi="仿宋" w:eastAsia="仿宋" w:cs="仿宋"/>
          <w:snapToGrid w:val="0"/>
          <w:color w:val="000000"/>
          <w:spacing w:val="-4"/>
          <w:kern w:val="0"/>
          <w:sz w:val="32"/>
          <w:szCs w:val="32"/>
          <w:lang w:val="en-US" w:eastAsia="zh-CN" w:bidi="ar-SA"/>
        </w:rPr>
        <w:t>致同会计师事务所</w:t>
      </w:r>
      <w:r>
        <w:rPr>
          <w:rFonts w:hint="eastAsia" w:ascii="仿宋" w:hAnsi="仿宋" w:eastAsia="仿宋" w:cs="仿宋"/>
          <w:snapToGrid w:val="0"/>
          <w:color w:val="000000"/>
          <w:kern w:val="0"/>
          <w:sz w:val="32"/>
          <w:szCs w:val="32"/>
          <w:lang w:val="en-US" w:eastAsia="zh-CN" w:bidi="ar"/>
        </w:rPr>
        <w:t xml:space="preserve">资质条件、质量管理水平、风险承担能力等能够满足公司审计工作的要求，及时、准确地完成了公司2023年年报审计相关工作。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sz w:val="32"/>
          <w:szCs w:val="32"/>
          <w:lang w:val="en-US" w:eastAsia="zh-CN" w:bidi="ar"/>
        </w:rPr>
      </w:pPr>
      <w:r>
        <w:rPr>
          <w:rFonts w:hint="eastAsia" w:ascii="仿宋" w:hAnsi="仿宋" w:eastAsia="仿宋" w:cs="仿宋"/>
          <w:snapToGrid w:val="0"/>
          <w:color w:val="000000"/>
          <w:kern w:val="0"/>
          <w:sz w:val="32"/>
          <w:szCs w:val="32"/>
          <w:lang w:val="en-US" w:eastAsia="zh-CN" w:bidi="ar"/>
        </w:rPr>
        <w:t xml:space="preserve">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sz w:val="32"/>
          <w:szCs w:val="32"/>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sz w:val="32"/>
          <w:szCs w:val="32"/>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left="4472" w:leftChars="1520" w:hanging="1280" w:hangingChars="400"/>
        <w:jc w:val="left"/>
        <w:textAlignment w:val="baseline"/>
        <w:rPr>
          <w:rFonts w:hint="default" w:ascii="仿宋" w:hAnsi="仿宋" w:eastAsia="仿宋" w:cs="仿宋"/>
          <w:snapToGrid w:val="0"/>
          <w:color w:val="000000"/>
          <w:kern w:val="0"/>
          <w:sz w:val="32"/>
          <w:szCs w:val="32"/>
          <w:lang w:val="en-US" w:eastAsia="zh-CN" w:bidi="ar"/>
        </w:rPr>
      </w:pPr>
      <w:r>
        <w:rPr>
          <w:rFonts w:hint="eastAsia" w:ascii="仿宋" w:hAnsi="仿宋" w:eastAsia="仿宋" w:cs="仿宋"/>
          <w:i w:val="0"/>
          <w:iCs w:val="0"/>
          <w:caps w:val="0"/>
          <w:spacing w:val="0"/>
          <w:sz w:val="32"/>
          <w:szCs w:val="32"/>
          <w:shd w:val="clear" w:fill="FFFFFF"/>
          <w:lang w:val="en-US" w:eastAsia="zh-CN"/>
        </w:rPr>
        <w:t>深圳市特力（集团）股份有限公司</w:t>
      </w:r>
      <w:r>
        <w:rPr>
          <w:rFonts w:hint="eastAsia" w:ascii="仿宋" w:hAnsi="仿宋" w:eastAsia="仿宋" w:cs="仿宋"/>
          <w:snapToGrid w:val="0"/>
          <w:color w:val="000000"/>
          <w:kern w:val="0"/>
          <w:sz w:val="32"/>
          <w:szCs w:val="32"/>
          <w:lang w:val="en-US" w:eastAsia="zh-CN" w:bidi="ar"/>
        </w:rPr>
        <w:t xml:space="preserve">                       董事会审计委员会</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s="仿宋"/>
          <w:snapToGrid w:val="0"/>
          <w:color w:val="000000"/>
          <w:kern w:val="0"/>
          <w:sz w:val="32"/>
          <w:szCs w:val="32"/>
          <w:lang w:val="en-US" w:eastAsia="zh-CN" w:bidi="ar"/>
        </w:rPr>
      </w:pPr>
      <w:r>
        <w:rPr>
          <w:rFonts w:hint="eastAsia" w:ascii="仿宋" w:hAnsi="仿宋" w:eastAsia="仿宋" w:cs="仿宋"/>
          <w:snapToGrid w:val="0"/>
          <w:color w:val="000000"/>
          <w:kern w:val="0"/>
          <w:sz w:val="32"/>
          <w:szCs w:val="32"/>
          <w:lang w:val="en-US" w:eastAsia="zh-CN" w:bidi="ar"/>
        </w:rPr>
        <w:t xml:space="preserve">                         2024年3月28</w:t>
      </w:r>
      <w:bookmarkStart w:id="0" w:name="_GoBack"/>
      <w:bookmarkEnd w:id="0"/>
      <w:r>
        <w:rPr>
          <w:rFonts w:hint="eastAsia" w:ascii="仿宋" w:hAnsi="仿宋" w:eastAsia="仿宋" w:cs="仿宋"/>
          <w:snapToGrid w:val="0"/>
          <w:color w:val="000000"/>
          <w:kern w:val="0"/>
          <w:sz w:val="32"/>
          <w:szCs w:val="32"/>
          <w:lang w:val="en-US" w:eastAsia="zh-CN" w:bidi="ar"/>
        </w:rPr>
        <w:t>日</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A48899"/>
    <w:multiLevelType w:val="singleLevel"/>
    <w:tmpl w:val="CAA4889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yYWZjZTg2NTI3MmExZDA5ZmIwMDZmZTkyYTk1MTcifQ=="/>
    <w:docVar w:name="KSO_WPS_MARK_KEY" w:val="25da7f02-b964-49f1-a0f6-fb00e9a0d7ec"/>
  </w:docVars>
  <w:rsids>
    <w:rsidRoot w:val="21225B98"/>
    <w:rsid w:val="04437454"/>
    <w:rsid w:val="074101C7"/>
    <w:rsid w:val="0C952B25"/>
    <w:rsid w:val="0EA55AF2"/>
    <w:rsid w:val="11F44DA4"/>
    <w:rsid w:val="12EA0173"/>
    <w:rsid w:val="13AB0523"/>
    <w:rsid w:val="19F3667F"/>
    <w:rsid w:val="19F64072"/>
    <w:rsid w:val="1D3A6908"/>
    <w:rsid w:val="21225B98"/>
    <w:rsid w:val="263E08AF"/>
    <w:rsid w:val="28D673C3"/>
    <w:rsid w:val="2C9B758A"/>
    <w:rsid w:val="36397DE6"/>
    <w:rsid w:val="38454440"/>
    <w:rsid w:val="3C371BD0"/>
    <w:rsid w:val="3CAD2DEA"/>
    <w:rsid w:val="3F93422A"/>
    <w:rsid w:val="41594397"/>
    <w:rsid w:val="44AA4447"/>
    <w:rsid w:val="48F657B2"/>
    <w:rsid w:val="4B833334"/>
    <w:rsid w:val="4F8B568E"/>
    <w:rsid w:val="511B7BD4"/>
    <w:rsid w:val="5226153C"/>
    <w:rsid w:val="57F459EB"/>
    <w:rsid w:val="5A1B6236"/>
    <w:rsid w:val="610F7BD0"/>
    <w:rsid w:val="682442B7"/>
    <w:rsid w:val="6C333EEB"/>
    <w:rsid w:val="6DD86EB1"/>
    <w:rsid w:val="78D468DC"/>
    <w:rsid w:val="7EAA5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semiHidden/>
    <w:qFormat/>
    <w:uiPriority w:val="0"/>
    <w:rPr>
      <w:rFonts w:ascii="仿宋" w:hAnsi="仿宋" w:eastAsia="仿宋" w:cs="仿宋"/>
      <w:sz w:val="28"/>
      <w:szCs w:val="28"/>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1306</Words>
  <Characters>1380</Characters>
  <Lines>0</Lines>
  <Paragraphs>0</Paragraphs>
  <TotalTime>19</TotalTime>
  <ScaleCrop>false</ScaleCrop>
  <LinksUpToDate>false</LinksUpToDate>
  <CharactersWithSpaces>1452</CharactersWithSpaces>
  <Application>WPS Office_11.1.0.15309_F1E327BC-269C-435d-A152-05C5408002CA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2024-03-04T14:17:00Z</dcterms:created>
  <dc:creator>韩丹丹</dc:creator>
  <cp:lastModifiedBy>两点半</cp:lastModifiedBy>
  <dcterms:modified xsi:type="dcterms:W3CDTF">2024-04-01T07:59:11Z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2052-11.1.0.15309</vt:lpwstr>
  </property>
  <property fmtid="{D5CDD505-2E9C-101B-9397-08002B2CF9AE}" pid="3" name="ICV">
    <vt:lpwstr>AE9E015B008B48D7A51620935B66CC8C_13</vt:lpwstr>
  </property>
</Properties>
</file>