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仿宋_GB2312" w:hAnsi="仿宋" w:eastAsia="仿宋_GB2312"/>
          <w:kern w:val="0"/>
          <w:sz w:val="32"/>
          <w:szCs w:val="32"/>
        </w:rPr>
      </w:pPr>
    </w:p>
    <w:p>
      <w:pPr>
        <w:jc w:val="center"/>
        <w:rPr>
          <w:rFonts w:ascii="宋体" w:hAnsi="宋体"/>
          <w:b/>
          <w:bCs/>
          <w:sz w:val="44"/>
          <w:szCs w:val="44"/>
        </w:rPr>
      </w:pPr>
      <w:r>
        <w:rPr>
          <w:rFonts w:hint="eastAsia" w:ascii="宋体" w:hAnsi="宋体"/>
          <w:b/>
          <w:bCs/>
          <w:sz w:val="44"/>
          <w:szCs w:val="44"/>
        </w:rPr>
        <w:t>投标邀请函</w:t>
      </w:r>
    </w:p>
    <w:p>
      <w:pPr>
        <w:spacing w:line="560" w:lineRule="exact"/>
        <w:ind w:firstLine="640" w:firstLineChars="200"/>
        <w:rPr>
          <w:rFonts w:ascii="仿宋" w:hAnsi="仿宋" w:eastAsia="仿宋"/>
          <w:sz w:val="32"/>
          <w:szCs w:val="32"/>
        </w:rPr>
      </w:pPr>
    </w:p>
    <w:p>
      <w:pPr>
        <w:spacing w:line="560" w:lineRule="exact"/>
        <w:ind w:firstLine="640"/>
        <w:rPr>
          <w:rFonts w:ascii="仿宋" w:hAnsi="仿宋" w:eastAsia="仿宋" w:cs="仿宋"/>
          <w:sz w:val="28"/>
          <w:szCs w:val="28"/>
        </w:rPr>
      </w:pPr>
      <w:r>
        <w:rPr>
          <w:rFonts w:hint="eastAsia" w:ascii="仿宋" w:hAnsi="仿宋" w:eastAsia="仿宋" w:cs="仿宋"/>
          <w:sz w:val="28"/>
          <w:szCs w:val="28"/>
        </w:rPr>
        <w:t>我公司就</w:t>
      </w:r>
      <w:r>
        <w:rPr>
          <w:rFonts w:hint="eastAsia" w:ascii="仿宋" w:hAnsi="仿宋" w:eastAsia="仿宋" w:cs="仿宋"/>
          <w:sz w:val="28"/>
          <w:szCs w:val="28"/>
          <w:u w:val="single"/>
        </w:rPr>
        <w:t>特力珠宝大厦负一楼与水贝国际连接处布局调整装修设计</w:t>
      </w:r>
      <w:r>
        <w:rPr>
          <w:rFonts w:hint="eastAsia" w:ascii="仿宋" w:hAnsi="仿宋" w:eastAsia="仿宋" w:cs="仿宋"/>
          <w:sz w:val="28"/>
          <w:szCs w:val="28"/>
        </w:rPr>
        <w:t>的邀请招标，现邀请你单位参加。</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项目概况</w:t>
      </w:r>
    </w:p>
    <w:p>
      <w:pPr>
        <w:spacing w:line="560" w:lineRule="exact"/>
        <w:ind w:firstLine="560" w:firstLineChars="200"/>
        <w:rPr>
          <w:rFonts w:ascii="仿宋" w:hAnsi="仿宋" w:eastAsia="仿宋" w:cs="仿宋"/>
          <w:sz w:val="28"/>
          <w:szCs w:val="28"/>
          <w:highlight w:val="yellow"/>
        </w:rPr>
      </w:pPr>
      <w:r>
        <w:rPr>
          <w:rFonts w:hint="eastAsia" w:ascii="仿宋" w:hAnsi="仿宋" w:eastAsia="仿宋" w:cs="仿宋"/>
          <w:sz w:val="28"/>
          <w:szCs w:val="28"/>
        </w:rPr>
        <w:t>本项目位于深圳市罗湖区翠竹街道特力珠宝大厦，装修范围是特力珠宝大厦裙楼负一层北侧与水贝国际连接处，装修设计区域面积约</w:t>
      </w:r>
      <w:r>
        <w:rPr>
          <w:rFonts w:ascii="仿宋" w:hAnsi="仿宋" w:eastAsia="仿宋" w:cs="仿宋"/>
          <w:sz w:val="28"/>
          <w:szCs w:val="28"/>
        </w:rPr>
        <w:t>2</w:t>
      </w:r>
      <w:r>
        <w:rPr>
          <w:rFonts w:hint="eastAsia" w:ascii="仿宋" w:hAnsi="仿宋" w:eastAsia="仿宋" w:cs="仿宋"/>
          <w:sz w:val="28"/>
          <w:szCs w:val="28"/>
        </w:rPr>
        <w:t>065㎡。</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招标范围</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特力珠宝大厦负一楼与水贝国际连接处（详见附件3原始平面图）</w:t>
      </w:r>
      <w:r>
        <w:rPr>
          <w:rFonts w:ascii="仿宋" w:hAnsi="仿宋" w:eastAsia="仿宋" w:cs="仿宋"/>
          <w:sz w:val="28"/>
          <w:szCs w:val="28"/>
        </w:rPr>
        <w:t>计划设置为</w:t>
      </w:r>
      <w:r>
        <w:rPr>
          <w:rFonts w:hint="eastAsia" w:ascii="仿宋" w:hAnsi="仿宋" w:eastAsia="仿宋" w:cs="仿宋"/>
          <w:sz w:val="28"/>
          <w:szCs w:val="28"/>
        </w:rPr>
        <w:t>边铺、岛柜</w:t>
      </w:r>
      <w:r>
        <w:rPr>
          <w:rFonts w:ascii="仿宋" w:hAnsi="仿宋" w:eastAsia="仿宋" w:cs="仿宋"/>
          <w:sz w:val="28"/>
          <w:szCs w:val="28"/>
        </w:rPr>
        <w:t>等</w:t>
      </w:r>
      <w:r>
        <w:rPr>
          <w:rFonts w:hint="eastAsia" w:ascii="仿宋" w:hAnsi="仿宋" w:eastAsia="仿宋" w:cs="仿宋"/>
          <w:sz w:val="28"/>
          <w:szCs w:val="28"/>
        </w:rPr>
        <w:t>，满足看货、展览，交易等珠宝卖场多种功能要求；充分利用现有负一楼靠近水贝国际处展厅、局部办公等空间，弱化珠宝大厦卖场与其他卖场之间的边界感，对该空间统筹考虑改造为珠宝卖场，进行布局调整装修，增加商业动线、提高人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需完成上述区域的天花、地板、墙面、门面等的装饰方案、装饰施工图设计、装饰工程配套相关的结构、强弱电、给排水、暖通、软装配饰、消防等专业设计，以及上述工程的施工配合；其它属于室内设计范畴的内容。（详见设计任务书）</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合同价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本项目采用固定</w:t>
      </w:r>
      <w:r>
        <w:rPr>
          <w:rFonts w:ascii="仿宋" w:hAnsi="仿宋" w:eastAsia="仿宋" w:cs="仿宋"/>
          <w:sz w:val="28"/>
          <w:szCs w:val="28"/>
        </w:rPr>
        <w:t>单</w:t>
      </w:r>
      <w:r>
        <w:rPr>
          <w:rFonts w:hint="eastAsia" w:ascii="仿宋" w:hAnsi="仿宋" w:eastAsia="仿宋" w:cs="仿宋"/>
          <w:sz w:val="28"/>
          <w:szCs w:val="28"/>
        </w:rPr>
        <w:t>价合同，投标人按暂定装饰设计面积自行报价，设计费总价不得超投标上限，设计面积在±10%内时设计费总价不作调整，超过±1</w:t>
      </w:r>
      <w:r>
        <w:rPr>
          <w:rFonts w:ascii="仿宋" w:hAnsi="仿宋" w:eastAsia="仿宋" w:cs="仿宋"/>
          <w:sz w:val="28"/>
          <w:szCs w:val="28"/>
        </w:rPr>
        <w:t>0</w:t>
      </w:r>
      <w:r>
        <w:rPr>
          <w:rFonts w:hint="eastAsia" w:ascii="仿宋" w:hAnsi="仿宋" w:eastAsia="仿宋" w:cs="仿宋"/>
          <w:sz w:val="28"/>
          <w:szCs w:val="28"/>
        </w:rPr>
        <w:t>%，</w:t>
      </w:r>
      <w:r>
        <w:rPr>
          <w:rFonts w:ascii="仿宋" w:hAnsi="仿宋" w:eastAsia="仿宋" w:cs="仿宋"/>
          <w:sz w:val="28"/>
          <w:szCs w:val="28"/>
        </w:rPr>
        <w:t>按投标报价单价</w:t>
      </w:r>
      <w:r>
        <w:rPr>
          <w:rFonts w:hint="eastAsia" w:ascii="仿宋" w:hAnsi="仿宋" w:eastAsia="仿宋" w:cs="仿宋"/>
          <w:sz w:val="28"/>
          <w:szCs w:val="28"/>
        </w:rPr>
        <w:t>及实际设计面积结算（即：结算价=实际设计面积x投标单价）。</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支付方式</w:t>
      </w:r>
    </w:p>
    <w:p>
      <w:pPr>
        <w:snapToGrid w:val="0"/>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详合同“第四条  费用及付款方式”</w:t>
      </w:r>
    </w:p>
    <w:p>
      <w:pPr>
        <w:numPr>
          <w:ilvl w:val="0"/>
          <w:numId w:val="1"/>
        </w:numPr>
        <w:spacing w:line="560" w:lineRule="exact"/>
        <w:ind w:firstLine="640"/>
        <w:rPr>
          <w:rFonts w:ascii="仿宋" w:hAnsi="仿宋" w:eastAsia="仿宋" w:cs="仿宋"/>
          <w:sz w:val="28"/>
          <w:szCs w:val="28"/>
        </w:rPr>
      </w:pPr>
      <w:r>
        <w:rPr>
          <w:rFonts w:hint="eastAsia" w:ascii="仿宋" w:hAnsi="仿宋" w:eastAsia="仿宋" w:cs="仿宋"/>
          <w:b/>
          <w:bCs/>
          <w:sz w:val="30"/>
          <w:szCs w:val="30"/>
        </w:rPr>
        <w:t>设计时间要求</w:t>
      </w:r>
    </w:p>
    <w:p>
      <w:pPr>
        <w:spacing w:line="560" w:lineRule="exact"/>
        <w:ind w:firstLine="640"/>
        <w:rPr>
          <w:rFonts w:ascii="仿宋" w:hAnsi="仿宋" w:eastAsia="仿宋" w:cs="仿宋"/>
          <w:sz w:val="28"/>
          <w:szCs w:val="28"/>
        </w:rPr>
      </w:pPr>
      <w:r>
        <w:rPr>
          <w:rFonts w:hint="eastAsia" w:ascii="仿宋" w:hAnsi="仿宋" w:eastAsia="仿宋" w:cs="仿宋"/>
          <w:sz w:val="28"/>
          <w:szCs w:val="28"/>
        </w:rPr>
        <w:t>方案设计15天完成，施工图设计在甲方确认设计方案后15天完成。</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资质要求</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投标人须具备以下资格条件（1、2、3条须满足一条）：</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1.具备工程设计综合类甲级资质；</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2.建筑行业（建筑工程）设计乙级资质或以上资质；</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3.具备建筑装饰工程设计专项乙级资质、消防设施工程设计专项乙级或以上资质</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最高限价</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投标上限价为人民币50.073万元，超过最高限价无效。</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评定标办法</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定性评审法、直接票决定标</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截标、开标时间和地点</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领取招标文件时间：</w:t>
      </w:r>
      <w:r>
        <w:rPr>
          <w:rFonts w:ascii="仿宋" w:hAnsi="仿宋" w:eastAsia="仿宋" w:cs="仿宋"/>
          <w:sz w:val="28"/>
          <w:szCs w:val="28"/>
        </w:rPr>
        <w:t>2023</w:t>
      </w:r>
      <w:r>
        <w:rPr>
          <w:rFonts w:hint="eastAsia" w:ascii="仿宋" w:hAnsi="仿宋" w:eastAsia="仿宋" w:cs="仿宋"/>
          <w:sz w:val="28"/>
          <w:szCs w:val="28"/>
        </w:rPr>
        <w:t>年</w:t>
      </w:r>
      <w:r>
        <w:rPr>
          <w:rFonts w:ascii="仿宋" w:hAnsi="仿宋" w:eastAsia="仿宋" w:cs="仿宋"/>
          <w:sz w:val="28"/>
          <w:szCs w:val="28"/>
        </w:rPr>
        <w:t>1</w:t>
      </w:r>
      <w:r>
        <w:rPr>
          <w:rFonts w:hint="eastAsia" w:ascii="仿宋" w:hAnsi="仿宋" w:eastAsia="仿宋" w:cs="仿宋"/>
          <w:sz w:val="28"/>
          <w:szCs w:val="28"/>
        </w:rPr>
        <w:t>1月1日至截标前</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领取招标文件地点：深圳市罗湖区特力大厦3层建设管理事业部</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截标时间：202</w:t>
      </w:r>
      <w:r>
        <w:rPr>
          <w:rFonts w:ascii="仿宋" w:hAnsi="仿宋" w:eastAsia="仿宋" w:cs="仿宋"/>
          <w:sz w:val="28"/>
          <w:szCs w:val="28"/>
        </w:rPr>
        <w:t>3</w:t>
      </w:r>
      <w:r>
        <w:rPr>
          <w:rFonts w:hint="eastAsia" w:ascii="仿宋" w:hAnsi="仿宋" w:eastAsia="仿宋" w:cs="仿宋"/>
          <w:sz w:val="28"/>
          <w:szCs w:val="28"/>
        </w:rPr>
        <w:t>年</w:t>
      </w:r>
      <w:r>
        <w:rPr>
          <w:rFonts w:ascii="仿宋" w:hAnsi="仿宋" w:eastAsia="仿宋" w:cs="仿宋"/>
          <w:sz w:val="28"/>
          <w:szCs w:val="28"/>
        </w:rPr>
        <w:t>1</w:t>
      </w:r>
      <w:r>
        <w:rPr>
          <w:rFonts w:hint="eastAsia" w:ascii="仿宋" w:hAnsi="仿宋" w:eastAsia="仿宋" w:cs="仿宋"/>
          <w:sz w:val="28"/>
          <w:szCs w:val="28"/>
        </w:rPr>
        <w:t>1月8日（星期</w:t>
      </w:r>
      <w:r>
        <w:rPr>
          <w:rFonts w:hint="eastAsia" w:ascii="仿宋" w:hAnsi="仿宋" w:eastAsia="仿宋" w:cs="仿宋"/>
          <w:sz w:val="28"/>
          <w:szCs w:val="28"/>
          <w:lang w:val="en-US" w:eastAsia="zh-CN"/>
        </w:rPr>
        <w:t>三</w:t>
      </w:r>
      <w:r>
        <w:rPr>
          <w:rFonts w:hint="eastAsia" w:ascii="仿宋" w:hAnsi="仿宋" w:eastAsia="仿宋" w:cs="仿宋"/>
          <w:sz w:val="28"/>
          <w:szCs w:val="28"/>
        </w:rPr>
        <w:t xml:space="preserve">）17：00 </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标书送达地点：深圳市罗湖区特力大厦3层建设管理事业部</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开标时间：招标人自行安排，投标人无需参加开标会议</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开标地点：招标人自行安排，投标人无需参加开标会议</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投标人需递交的材料</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投标承诺书；</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报价单（详见附件</w:t>
      </w:r>
      <w:r>
        <w:rPr>
          <w:rFonts w:ascii="仿宋" w:hAnsi="仿宋" w:eastAsia="仿宋" w:cs="仿宋"/>
          <w:sz w:val="28"/>
          <w:szCs w:val="28"/>
        </w:rPr>
        <w:t>2</w:t>
      </w:r>
      <w:r>
        <w:rPr>
          <w:rFonts w:hint="eastAsia" w:ascii="仿宋" w:hAnsi="仿宋" w:eastAsia="仿宋" w:cs="仿宋"/>
          <w:sz w:val="28"/>
          <w:szCs w:val="28"/>
        </w:rPr>
        <w:t>）；</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单位营业执照复印件；</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单位法人证明书正本；</w:t>
      </w:r>
    </w:p>
    <w:p>
      <w:pPr>
        <w:numPr>
          <w:ilvl w:val="0"/>
          <w:numId w:val="3"/>
        </w:numPr>
        <w:tabs>
          <w:tab w:val="left" w:pos="1060"/>
        </w:tabs>
        <w:spacing w:line="560" w:lineRule="exact"/>
        <w:rPr>
          <w:rFonts w:ascii="仿宋" w:hAnsi="仿宋" w:eastAsia="仿宋" w:cs="仿宋"/>
          <w:color w:val="FF0000"/>
          <w:sz w:val="28"/>
          <w:szCs w:val="28"/>
        </w:rPr>
      </w:pPr>
      <w:r>
        <w:rPr>
          <w:rFonts w:hint="eastAsia" w:ascii="仿宋" w:hAnsi="仿宋" w:eastAsia="仿宋" w:cs="仿宋"/>
          <w:sz w:val="28"/>
          <w:szCs w:val="28"/>
        </w:rPr>
        <w:t>投标人资质证书复印件；</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委托代理人证明书正本；</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代理人身份证复印件；</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投标人业绩及证明文件（投标人认为最具代表性的5个设计项目业绩，设计合同关键页，含设计费和设计规模）；</w:t>
      </w:r>
    </w:p>
    <w:p>
      <w:pPr>
        <w:numPr>
          <w:ilvl w:val="0"/>
          <w:numId w:val="3"/>
        </w:numPr>
        <w:tabs>
          <w:tab w:val="left" w:pos="1060"/>
        </w:tabs>
        <w:spacing w:line="560" w:lineRule="exact"/>
        <w:rPr>
          <w:rFonts w:ascii="仿宋" w:hAnsi="仿宋" w:eastAsia="仿宋"/>
          <w:color w:val="000000"/>
          <w:sz w:val="28"/>
          <w:szCs w:val="28"/>
        </w:rPr>
      </w:pPr>
      <w:r>
        <w:rPr>
          <w:rFonts w:ascii="仿宋" w:hAnsi="仿宋" w:eastAsia="仿宋"/>
          <w:color w:val="000000"/>
          <w:sz w:val="28"/>
          <w:szCs w:val="28"/>
        </w:rPr>
        <w:t>以上投标材料纸质版文件一式两份</w:t>
      </w:r>
      <w:r>
        <w:rPr>
          <w:rFonts w:hint="eastAsia" w:ascii="仿宋" w:hAnsi="仿宋" w:eastAsia="仿宋"/>
          <w:color w:val="000000"/>
          <w:sz w:val="28"/>
          <w:szCs w:val="28"/>
        </w:rPr>
        <w:t>，</w:t>
      </w:r>
      <w:r>
        <w:rPr>
          <w:rFonts w:hint="eastAsia" w:ascii="仿宋" w:hAnsi="仿宋" w:eastAsia="仿宋"/>
          <w:b/>
          <w:bCs/>
          <w:color w:val="000000"/>
          <w:sz w:val="28"/>
          <w:szCs w:val="28"/>
        </w:rPr>
        <w:t>需编写目录和页码</w:t>
      </w:r>
      <w:r>
        <w:rPr>
          <w:rFonts w:hint="eastAsia" w:ascii="仿宋" w:hAnsi="仿宋" w:eastAsia="仿宋"/>
          <w:color w:val="000000"/>
          <w:sz w:val="28"/>
          <w:szCs w:val="28"/>
        </w:rPr>
        <w:t>，</w:t>
      </w:r>
      <w:r>
        <w:rPr>
          <w:rFonts w:ascii="仿宋" w:hAnsi="仿宋" w:eastAsia="仿宋"/>
          <w:color w:val="000000"/>
          <w:sz w:val="28"/>
          <w:szCs w:val="28"/>
        </w:rPr>
        <w:t>并提供对应电子版文档（U盘</w:t>
      </w:r>
      <w:r>
        <w:rPr>
          <w:rFonts w:hint="eastAsia" w:ascii="仿宋" w:hAnsi="仿宋" w:eastAsia="仿宋"/>
          <w:color w:val="000000"/>
          <w:sz w:val="28"/>
          <w:szCs w:val="28"/>
        </w:rPr>
        <w:t>或光盘</w:t>
      </w:r>
      <w:r>
        <w:rPr>
          <w:rFonts w:ascii="仿宋" w:hAnsi="仿宋" w:eastAsia="仿宋"/>
          <w:color w:val="000000"/>
          <w:sz w:val="28"/>
          <w:szCs w:val="28"/>
        </w:rPr>
        <w:t>），所有复印件均需加盖公章，装入密封袋中。</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w:t>
      </w:r>
      <w:r>
        <w:rPr>
          <w:rFonts w:ascii="仿宋" w:hAnsi="仿宋" w:eastAsia="仿宋"/>
          <w:color w:val="000000"/>
          <w:sz w:val="28"/>
          <w:szCs w:val="28"/>
        </w:rPr>
        <w:t>投标人未按投标邀请函第十条中的（</w:t>
      </w:r>
      <w:r>
        <w:rPr>
          <w:rFonts w:hint="eastAsia" w:ascii="仿宋" w:hAnsi="仿宋" w:eastAsia="仿宋"/>
          <w:color w:val="000000"/>
          <w:sz w:val="28"/>
          <w:szCs w:val="28"/>
        </w:rPr>
        <w:t>一</w:t>
      </w:r>
      <w:r>
        <w:rPr>
          <w:rFonts w:ascii="仿宋" w:hAnsi="仿宋" w:eastAsia="仿宋"/>
          <w:color w:val="000000"/>
          <w:sz w:val="28"/>
          <w:szCs w:val="28"/>
        </w:rPr>
        <w:t>）至（</w:t>
      </w:r>
      <w:r>
        <w:rPr>
          <w:rFonts w:hint="eastAsia" w:ascii="仿宋" w:hAnsi="仿宋" w:eastAsia="仿宋"/>
          <w:color w:val="000000"/>
          <w:sz w:val="28"/>
          <w:szCs w:val="28"/>
        </w:rPr>
        <w:t>五</w:t>
      </w:r>
      <w:r>
        <w:rPr>
          <w:rFonts w:ascii="仿宋" w:hAnsi="仿宋" w:eastAsia="仿宋"/>
          <w:color w:val="000000"/>
          <w:sz w:val="28"/>
          <w:szCs w:val="28"/>
        </w:rPr>
        <w:t>）提供相应文件视为废标。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（二）商务标存在无效报价情况，作废标处理。</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其他</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本次招标不组织投标人踏勘现场，请自行前往现场查看。</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招标文件有关的质疑、答疑，统一以邮件的形式发送至招标文件领取时预留的邮箱。</w:t>
      </w:r>
    </w:p>
    <w:p>
      <w:pPr>
        <w:snapToGrid w:val="0"/>
        <w:spacing w:line="560" w:lineRule="exact"/>
        <w:ind w:firstLine="560" w:firstLineChars="200"/>
        <w:rPr>
          <w:rFonts w:ascii="微软雅黑" w:hAnsi="微软雅黑" w:eastAsia="微软雅黑"/>
          <w:color w:val="333333"/>
          <w:sz w:val="28"/>
          <w:szCs w:val="28"/>
        </w:rPr>
      </w:pPr>
      <w:r>
        <w:rPr>
          <w:rFonts w:ascii="仿宋" w:hAnsi="仿宋" w:eastAsia="仿宋"/>
          <w:color w:val="000000"/>
          <w:sz w:val="28"/>
          <w:szCs w:val="28"/>
        </w:rPr>
        <w:t>若你单位有意参加投标，请于截标时间前到达标书送达地点，并递交有关材料。</w:t>
      </w: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若你单位有意参加投标，请于截标时间前到达标书送达地点，并递交有关材料。</w:t>
      </w:r>
    </w:p>
    <w:p>
      <w:pPr>
        <w:jc w:val="right"/>
        <w:rPr>
          <w:rFonts w:ascii="仿宋" w:hAnsi="仿宋" w:eastAsia="仿宋" w:cs="仿宋"/>
          <w:sz w:val="32"/>
          <w:szCs w:val="32"/>
        </w:rPr>
      </w:pPr>
    </w:p>
    <w:p>
      <w:pPr>
        <w:spacing w:line="560" w:lineRule="exact"/>
        <w:jc w:val="right"/>
        <w:rPr>
          <w:rFonts w:ascii="仿宋" w:hAnsi="仿宋" w:eastAsia="仿宋" w:cs="仿宋"/>
          <w:sz w:val="28"/>
          <w:szCs w:val="28"/>
        </w:rPr>
      </w:pPr>
      <w:r>
        <w:rPr>
          <w:rFonts w:hint="eastAsia" w:ascii="仿宋" w:hAnsi="仿宋" w:eastAsia="仿宋" w:cs="仿宋"/>
          <w:sz w:val="28"/>
          <w:szCs w:val="28"/>
        </w:rPr>
        <w:t>深圳市中天实业有限公司</w:t>
      </w:r>
    </w:p>
    <w:p>
      <w:pPr>
        <w:spacing w:line="560" w:lineRule="exact"/>
        <w:jc w:val="right"/>
        <w:rPr>
          <w:rFonts w:ascii="仿宋" w:hAnsi="仿宋" w:eastAsia="仿宋" w:cs="仿宋"/>
          <w:sz w:val="28"/>
          <w:szCs w:val="28"/>
        </w:rPr>
      </w:pPr>
      <w:r>
        <w:rPr>
          <w:rFonts w:ascii="仿宋" w:hAnsi="仿宋" w:eastAsia="仿宋" w:cs="仿宋"/>
          <w:sz w:val="28"/>
          <w:szCs w:val="28"/>
        </w:rPr>
        <w:t>2023</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lang w:val="en-US" w:eastAsia="zh-CN"/>
        </w:rPr>
        <w:t>11</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lang w:val="en-US" w:eastAsia="zh-CN"/>
        </w:rPr>
        <w:t>1</w:t>
      </w:r>
      <w:r>
        <w:rPr>
          <w:rFonts w:ascii="仿宋" w:hAnsi="仿宋" w:eastAsia="仿宋" w:cs="仿宋"/>
          <w:sz w:val="28"/>
          <w:szCs w:val="28"/>
        </w:rPr>
        <w:t xml:space="preserve"> </w:t>
      </w:r>
      <w:r>
        <w:rPr>
          <w:rFonts w:hint="eastAsia" w:ascii="仿宋" w:hAnsi="仿宋" w:eastAsia="仿宋" w:cs="仿宋"/>
          <w:sz w:val="28"/>
          <w:szCs w:val="28"/>
        </w:rPr>
        <w:t>日</w:t>
      </w:r>
      <w:bookmarkStart w:id="10" w:name="_GoBack"/>
      <w:bookmarkEnd w:id="10"/>
    </w:p>
    <w:p>
      <w:pPr>
        <w:spacing w:line="560" w:lineRule="exact"/>
        <w:jc w:val="right"/>
        <w:rPr>
          <w:rFonts w:ascii="仿宋" w:hAnsi="仿宋" w:eastAsia="仿宋" w:cs="仿宋"/>
          <w:sz w:val="28"/>
          <w:szCs w:val="28"/>
        </w:rPr>
      </w:pPr>
      <w:r>
        <w:rPr>
          <w:rFonts w:hint="eastAsia" w:ascii="仿宋" w:hAnsi="仿宋" w:eastAsia="仿宋" w:cs="仿宋"/>
          <w:sz w:val="28"/>
          <w:szCs w:val="28"/>
        </w:rPr>
        <w:t>联系人：黄工</w:t>
      </w:r>
    </w:p>
    <w:p>
      <w:pPr>
        <w:spacing w:line="560" w:lineRule="exact"/>
        <w:jc w:val="righ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1</w:t>
      </w:r>
      <w:r>
        <w:rPr>
          <w:rFonts w:hint="eastAsia" w:ascii="仿宋" w:hAnsi="仿宋" w:eastAsia="仿宋" w:cs="仿宋"/>
          <w:sz w:val="28"/>
          <w:szCs w:val="28"/>
        </w:rPr>
        <w:t>3423999979</w:t>
      </w:r>
    </w:p>
    <w:p>
      <w:pPr>
        <w:spacing w:line="560" w:lineRule="exact"/>
        <w:jc w:val="right"/>
        <w:rPr>
          <w:rFonts w:ascii="仿宋" w:hAnsi="仿宋" w:eastAsia="仿宋" w:cs="仿宋"/>
          <w:sz w:val="28"/>
          <w:szCs w:val="28"/>
        </w:rPr>
      </w:pPr>
      <w:r>
        <w:rPr>
          <w:rFonts w:hint="eastAsia" w:ascii="仿宋" w:hAnsi="仿宋" w:eastAsia="仿宋" w:cs="仿宋"/>
          <w:sz w:val="28"/>
          <w:szCs w:val="28"/>
        </w:rPr>
        <w:t>邮箱：huanggh@tellus.cn</w:t>
      </w:r>
    </w:p>
    <w:p>
      <w:pPr>
        <w:rPr>
          <w:rFonts w:ascii="仿宋" w:hAnsi="仿宋" w:eastAsia="仿宋"/>
          <w:sz w:val="32"/>
          <w:szCs w:val="32"/>
        </w:rPr>
      </w:pPr>
      <w:r>
        <w:rPr>
          <w:rFonts w:hint="eastAsia" w:ascii="仿宋" w:hAnsi="仿宋" w:eastAsia="仿宋"/>
          <w:sz w:val="32"/>
          <w:szCs w:val="32"/>
        </w:rPr>
        <w:br w:type="page"/>
      </w:r>
    </w:p>
    <w:p>
      <w:pPr>
        <w:spacing w:before="100" w:beforeAutospacing="1" w:after="30" w:line="360" w:lineRule="auto"/>
        <w:ind w:left="722" w:leftChars="39" w:hanging="640" w:hangingChars="200"/>
        <w:jc w:val="left"/>
        <w:rPr>
          <w:rFonts w:ascii="仿宋" w:hAnsi="仿宋" w:eastAsia="仿宋"/>
          <w:sz w:val="32"/>
          <w:szCs w:val="32"/>
        </w:rPr>
      </w:pPr>
      <w:r>
        <w:rPr>
          <w:rFonts w:hint="eastAsia" w:ascii="仿宋" w:hAnsi="仿宋" w:eastAsia="仿宋"/>
          <w:sz w:val="32"/>
          <w:szCs w:val="32"/>
        </w:rPr>
        <w:t>附件1：承诺书</w:t>
      </w:r>
    </w:p>
    <w:p>
      <w:pPr>
        <w:jc w:val="cente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承   诺   书</w:t>
      </w:r>
    </w:p>
    <w:p>
      <w:pPr>
        <w:jc w:val="center"/>
        <w:rPr>
          <w:rFonts w:ascii="黑体" w:hAnsi="Times New Roman" w:eastAsia="黑体"/>
          <w:sz w:val="44"/>
          <w:szCs w:val="44"/>
        </w:rPr>
      </w:pPr>
    </w:p>
    <w:p>
      <w:pPr>
        <w:spacing w:line="560" w:lineRule="exact"/>
        <w:rPr>
          <w:rFonts w:cs="微软雅黑" w:asciiTheme="minorEastAsia" w:hAnsiTheme="minorEastAsia"/>
          <w:b/>
          <w:sz w:val="32"/>
          <w:szCs w:val="32"/>
        </w:rPr>
      </w:pPr>
      <w:r>
        <w:rPr>
          <w:rFonts w:hint="eastAsia" w:cs="微软雅黑" w:asciiTheme="minorEastAsia" w:hAnsiTheme="minorEastAsia"/>
          <w:b/>
          <w:bCs/>
          <w:sz w:val="32"/>
          <w:szCs w:val="32"/>
        </w:rPr>
        <w:t>致：</w:t>
      </w:r>
      <w:r>
        <w:rPr>
          <w:rFonts w:hint="eastAsia" w:cs="微软雅黑" w:asciiTheme="minorEastAsia" w:hAnsiTheme="minorEastAsia"/>
          <w:b/>
          <w:sz w:val="32"/>
          <w:szCs w:val="32"/>
        </w:rPr>
        <w:t>深圳市中天实业有限公司</w:t>
      </w:r>
    </w:p>
    <w:p>
      <w:pPr>
        <w:spacing w:line="560" w:lineRule="exact"/>
        <w:rPr>
          <w:rFonts w:ascii="仿宋" w:hAnsi="仿宋" w:eastAsia="仿宋"/>
          <w:sz w:val="32"/>
          <w:szCs w:val="32"/>
        </w:rPr>
      </w:pP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一、我单位愿意承担贵司“特力珠宝大厦负一楼与水贝国际连接处布局调整装修”工作。</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二、我单位愿意按附件2：“特力珠宝大厦负一楼与水贝国际连接处布局调整装修”中所填报的金额，合计</w:t>
      </w:r>
      <w:r>
        <w:rPr>
          <w:rFonts w:hint="eastAsia" w:ascii="仿宋" w:hAnsi="仿宋" w:eastAsia="仿宋" w:cs="仿宋"/>
          <w:sz w:val="28"/>
          <w:szCs w:val="28"/>
          <w:u w:val="single"/>
        </w:rPr>
        <w:t>（以投标单位报价为准）</w:t>
      </w:r>
      <w:r>
        <w:rPr>
          <w:rFonts w:hint="eastAsia" w:ascii="仿宋" w:hAnsi="仿宋" w:eastAsia="仿宋" w:cs="仿宋"/>
          <w:sz w:val="28"/>
          <w:szCs w:val="28"/>
        </w:rPr>
        <w:t>元作为合同价，承担此项工作。</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三、我单位同意招标文件中合同条款的相关约定，在中标后30日内与贵司签订设计合同。</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四、我单位未能按贵司规定的时间内进场开展工作，自愿按合同总价10%给予补偿委托人。</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五、我单位接受贵司以邀请招标方式、定性评审法的原则选聘合适的设计单位的安排。</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六、我单位同意按贵司要求完成相关工作。</w:t>
      </w:r>
    </w:p>
    <w:p>
      <w:pPr>
        <w:tabs>
          <w:tab w:val="left" w:pos="1060"/>
        </w:tabs>
        <w:spacing w:line="560" w:lineRule="exact"/>
        <w:ind w:right="1365" w:rightChars="650" w:firstLine="560" w:firstLineChars="200"/>
        <w:jc w:val="right"/>
        <w:rPr>
          <w:rFonts w:ascii="仿宋" w:hAnsi="仿宋" w:eastAsia="仿宋" w:cs="仿宋"/>
          <w:sz w:val="28"/>
          <w:szCs w:val="28"/>
        </w:rPr>
      </w:pPr>
    </w:p>
    <w:p>
      <w:pPr>
        <w:tabs>
          <w:tab w:val="left" w:pos="1060"/>
        </w:tabs>
        <w:spacing w:line="560" w:lineRule="exact"/>
        <w:ind w:right="1365" w:rightChars="650" w:firstLine="560" w:firstLineChars="200"/>
        <w:jc w:val="right"/>
        <w:rPr>
          <w:rFonts w:ascii="仿宋" w:hAnsi="仿宋" w:eastAsia="仿宋" w:cs="仿宋"/>
          <w:sz w:val="28"/>
          <w:szCs w:val="28"/>
        </w:rPr>
      </w:pPr>
      <w:r>
        <w:rPr>
          <w:rFonts w:hint="eastAsia" w:ascii="仿宋" w:hAnsi="仿宋" w:eastAsia="仿宋" w:cs="仿宋"/>
          <w:sz w:val="28"/>
          <w:szCs w:val="28"/>
        </w:rPr>
        <w:t xml:space="preserve">投标单位：                </w:t>
      </w:r>
    </w:p>
    <w:p>
      <w:pPr>
        <w:tabs>
          <w:tab w:val="left" w:pos="1060"/>
        </w:tabs>
        <w:spacing w:line="560" w:lineRule="exact"/>
        <w:ind w:right="1365" w:rightChars="650" w:firstLine="560" w:firstLineChars="200"/>
        <w:jc w:val="right"/>
        <w:rPr>
          <w:rFonts w:ascii="仿宋" w:hAnsi="仿宋" w:eastAsia="仿宋" w:cs="仿宋"/>
          <w:sz w:val="28"/>
          <w:szCs w:val="28"/>
        </w:rPr>
      </w:pPr>
      <w:r>
        <w:rPr>
          <w:rFonts w:hint="eastAsia" w:ascii="仿宋" w:hAnsi="仿宋" w:eastAsia="仿宋" w:cs="仿宋"/>
          <w:sz w:val="28"/>
          <w:szCs w:val="28"/>
        </w:rPr>
        <w:t xml:space="preserve"> 法人代表或授权代理人：                </w:t>
      </w:r>
    </w:p>
    <w:p>
      <w:pPr>
        <w:tabs>
          <w:tab w:val="left" w:pos="1060"/>
        </w:tabs>
        <w:spacing w:line="560" w:lineRule="exact"/>
        <w:ind w:right="1365" w:rightChars="650" w:firstLine="560" w:firstLineChars="200"/>
        <w:jc w:val="right"/>
        <w:rPr>
          <w:rFonts w:ascii="仿宋" w:hAnsi="仿宋" w:eastAsia="仿宋" w:cs="仿宋"/>
          <w:sz w:val="28"/>
          <w:szCs w:val="28"/>
        </w:rPr>
      </w:pPr>
      <w:r>
        <w:rPr>
          <w:rFonts w:hint="eastAsia" w:ascii="仿宋" w:hAnsi="仿宋" w:eastAsia="仿宋" w:cs="仿宋"/>
          <w:sz w:val="28"/>
          <w:szCs w:val="28"/>
        </w:rPr>
        <w:t xml:space="preserve">日      期：  </w:t>
      </w:r>
    </w:p>
    <w:p>
      <w:pPr>
        <w:rPr>
          <w:rFonts w:ascii="仿宋" w:hAnsi="仿宋" w:eastAsia="仿宋"/>
          <w:sz w:val="32"/>
          <w:szCs w:val="32"/>
        </w:rPr>
      </w:pPr>
      <w:r>
        <w:rPr>
          <w:rFonts w:hint="eastAsia"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附件2：报价单</w:t>
      </w:r>
    </w:p>
    <w:tbl>
      <w:tblPr>
        <w:tblStyle w:val="9"/>
        <w:tblW w:w="8114" w:type="dxa"/>
        <w:tblInd w:w="103" w:type="dxa"/>
        <w:tblLayout w:type="fixed"/>
        <w:tblCellMar>
          <w:top w:w="0" w:type="dxa"/>
          <w:left w:w="108" w:type="dxa"/>
          <w:bottom w:w="0" w:type="dxa"/>
          <w:right w:w="108" w:type="dxa"/>
        </w:tblCellMar>
      </w:tblPr>
      <w:tblGrid>
        <w:gridCol w:w="1701"/>
        <w:gridCol w:w="2019"/>
        <w:gridCol w:w="2268"/>
        <w:gridCol w:w="2126"/>
      </w:tblGrid>
      <w:tr>
        <w:tblPrEx>
          <w:tblCellMar>
            <w:top w:w="0" w:type="dxa"/>
            <w:left w:w="108" w:type="dxa"/>
            <w:bottom w:w="0" w:type="dxa"/>
            <w:right w:w="108" w:type="dxa"/>
          </w:tblCellMar>
        </w:tblPrEx>
        <w:trPr>
          <w:trHeight w:val="315" w:hRule="atLeast"/>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位置</w:t>
            </w:r>
          </w:p>
        </w:tc>
        <w:tc>
          <w:tcPr>
            <w:tcW w:w="6413"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设计报价</w:t>
            </w:r>
          </w:p>
        </w:tc>
      </w:tr>
      <w:tr>
        <w:tblPrEx>
          <w:tblCellMar>
            <w:top w:w="0" w:type="dxa"/>
            <w:left w:w="108" w:type="dxa"/>
            <w:bottom w:w="0" w:type="dxa"/>
            <w:right w:w="108" w:type="dxa"/>
          </w:tblCellMar>
        </w:tblPrEx>
        <w:trPr>
          <w:trHeight w:val="315" w:hRule="atLeast"/>
        </w:trPr>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4"/>
              </w:rPr>
            </w:pPr>
          </w:p>
        </w:tc>
        <w:tc>
          <w:tcPr>
            <w:tcW w:w="20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设计面积（㎡）</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设计单价（元/㎡）</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设计费（元）</w:t>
            </w:r>
          </w:p>
        </w:tc>
      </w:tr>
      <w:tr>
        <w:tblPrEx>
          <w:tblCellMar>
            <w:top w:w="0" w:type="dxa"/>
            <w:left w:w="108" w:type="dxa"/>
            <w:bottom w:w="0" w:type="dxa"/>
            <w:right w:w="108" w:type="dxa"/>
          </w:tblCellMar>
        </w:tblPrEx>
        <w:trPr>
          <w:trHeight w:val="39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特力珠宝大厦负一楼与水贝国际连接处</w:t>
            </w:r>
          </w:p>
        </w:tc>
        <w:tc>
          <w:tcPr>
            <w:tcW w:w="201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ascii="等线" w:hAnsi="等线" w:eastAsia="等线" w:cs="宋体"/>
                <w:color w:val="000000"/>
                <w:kern w:val="0"/>
                <w:sz w:val="24"/>
              </w:rPr>
              <w:t>2</w:t>
            </w:r>
            <w:r>
              <w:rPr>
                <w:rFonts w:hint="eastAsia" w:ascii="等线" w:hAnsi="等线" w:eastAsia="等线" w:cs="宋体"/>
                <w:color w:val="000000"/>
                <w:kern w:val="0"/>
                <w:sz w:val="24"/>
              </w:rPr>
              <w:t>065</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4"/>
              </w:rPr>
            </w:pPr>
          </w:p>
        </w:tc>
      </w:tr>
    </w:tbl>
    <w:p>
      <w:pPr>
        <w:rPr>
          <w:rFonts w:ascii="仿宋" w:hAnsi="仿宋" w:eastAsia="仿宋"/>
          <w:sz w:val="32"/>
          <w:szCs w:val="32"/>
        </w:rPr>
      </w:pPr>
      <w:r>
        <w:rPr>
          <w:rFonts w:hint="eastAsia" w:ascii="仿宋" w:hAnsi="仿宋" w:eastAsia="仿宋"/>
          <w:sz w:val="32"/>
          <w:szCs w:val="32"/>
        </w:rPr>
        <w:t>注：投标报价上限为50.073万元。</w:t>
      </w:r>
    </w:p>
    <w:p>
      <w:pPr>
        <w:rPr>
          <w:rFonts w:ascii="宋体" w:hAnsi="宋体" w:eastAsia="宋体"/>
          <w:sz w:val="36"/>
          <w:szCs w:val="36"/>
        </w:rPr>
      </w:pPr>
      <w:r>
        <w:rPr>
          <w:rFonts w:hint="eastAsia" w:ascii="宋体" w:hAnsi="宋体" w:eastAsia="宋体"/>
          <w:sz w:val="36"/>
          <w:szCs w:val="36"/>
        </w:rPr>
        <w:br w:type="page"/>
      </w:r>
    </w:p>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3：原始平面图</w:t>
      </w: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：合同范本</w:t>
      </w:r>
    </w:p>
    <w:p>
      <w:pPr>
        <w:adjustRightInd w:val="0"/>
        <w:snapToGrid w:val="0"/>
        <w:spacing w:line="360" w:lineRule="auto"/>
        <w:rPr>
          <w:rFonts w:ascii="宋体" w:hAnsi="宋体"/>
        </w:rPr>
      </w:pPr>
    </w:p>
    <w:p>
      <w:pPr>
        <w:spacing w:line="360" w:lineRule="auto"/>
        <w:rPr>
          <w:rFonts w:ascii="宋体" w:hAnsi="宋体" w:cs="宋体"/>
          <w:szCs w:val="21"/>
        </w:rPr>
      </w:pPr>
    </w:p>
    <w:p>
      <w:pPr>
        <w:tabs>
          <w:tab w:val="left" w:pos="1050"/>
          <w:tab w:val="left" w:pos="1260"/>
          <w:tab w:val="left" w:pos="1680"/>
          <w:tab w:val="left" w:pos="4095"/>
          <w:tab w:val="left" w:pos="5355"/>
        </w:tabs>
        <w:spacing w:line="360" w:lineRule="auto"/>
        <w:jc w:val="center"/>
        <w:rPr>
          <w:rFonts w:ascii="黑体" w:hAnsi="楷体" w:eastAsia="黑体"/>
          <w:b/>
          <w:bCs/>
          <w:sz w:val="72"/>
          <w:szCs w:val="72"/>
        </w:rPr>
      </w:pPr>
      <w:r>
        <w:rPr>
          <w:rFonts w:hint="eastAsia" w:ascii="黑体" w:hAnsi="楷体" w:eastAsia="黑体"/>
          <w:b/>
          <w:bCs/>
          <w:sz w:val="72"/>
          <w:szCs w:val="72"/>
        </w:rPr>
        <w:t>深圳市建设工程设计合同</w:t>
      </w:r>
    </w:p>
    <w:p>
      <w:pPr>
        <w:tabs>
          <w:tab w:val="left" w:pos="1050"/>
          <w:tab w:val="left" w:pos="1260"/>
          <w:tab w:val="left" w:pos="1680"/>
          <w:tab w:val="left" w:pos="4095"/>
          <w:tab w:val="left" w:pos="5355"/>
        </w:tabs>
        <w:spacing w:line="360" w:lineRule="auto"/>
        <w:jc w:val="center"/>
        <w:rPr>
          <w:rFonts w:ascii="楷体" w:hAnsi="楷体" w:eastAsia="楷体"/>
          <w:b/>
          <w:bCs/>
          <w:sz w:val="36"/>
        </w:rPr>
      </w:pPr>
    </w:p>
    <w:p>
      <w:pPr>
        <w:tabs>
          <w:tab w:val="left" w:pos="1050"/>
          <w:tab w:val="left" w:pos="1260"/>
          <w:tab w:val="left" w:pos="1680"/>
          <w:tab w:val="left" w:pos="4095"/>
          <w:tab w:val="left" w:pos="5355"/>
        </w:tabs>
        <w:spacing w:line="360" w:lineRule="auto"/>
        <w:jc w:val="center"/>
        <w:rPr>
          <w:rFonts w:ascii="楷体" w:hAnsi="楷体" w:eastAsia="楷体"/>
          <w:b/>
          <w:bCs/>
          <w:sz w:val="36"/>
        </w:rPr>
      </w:pPr>
    </w:p>
    <w:p>
      <w:pPr>
        <w:tabs>
          <w:tab w:val="left" w:pos="1050"/>
          <w:tab w:val="left" w:pos="1260"/>
          <w:tab w:val="left" w:pos="1680"/>
          <w:tab w:val="left" w:pos="4095"/>
          <w:tab w:val="left" w:pos="5355"/>
        </w:tabs>
        <w:spacing w:line="360" w:lineRule="auto"/>
        <w:jc w:val="center"/>
        <w:rPr>
          <w:rFonts w:ascii="楷体" w:hAnsi="楷体" w:eastAsia="楷体"/>
          <w:b/>
          <w:bCs/>
          <w:sz w:val="36"/>
        </w:rPr>
      </w:pPr>
    </w:p>
    <w:p>
      <w:pPr>
        <w:spacing w:line="680" w:lineRule="exact"/>
        <w:ind w:firstLine="1274" w:firstLineChars="455"/>
        <w:rPr>
          <w:rFonts w:ascii="宋体" w:hAnsi="宋体"/>
          <w:b/>
          <w:sz w:val="28"/>
          <w:szCs w:val="28"/>
          <w:u w:val="single"/>
        </w:rPr>
      </w:pPr>
      <w:r>
        <w:rPr>
          <w:rFonts w:hint="eastAsia" w:ascii="宋体" w:hAnsi="宋体"/>
          <w:sz w:val="28"/>
          <w:szCs w:val="28"/>
        </w:rPr>
        <w:t>工程名称：</w:t>
      </w:r>
      <w:r>
        <w:rPr>
          <w:rFonts w:hint="eastAsia" w:ascii="宋体" w:hAnsi="宋体"/>
          <w:b/>
          <w:sz w:val="28"/>
          <w:szCs w:val="28"/>
          <w:u w:val="single"/>
        </w:rPr>
        <w:t>特力珠宝大厦负一楼与水贝国际</w:t>
      </w:r>
    </w:p>
    <w:p>
      <w:pPr>
        <w:spacing w:line="680" w:lineRule="exact"/>
        <w:ind w:firstLine="2684" w:firstLineChars="955"/>
        <w:rPr>
          <w:rFonts w:ascii="宋体" w:hAnsi="宋体"/>
          <w:b/>
          <w:sz w:val="28"/>
          <w:szCs w:val="28"/>
          <w:u w:val="single"/>
        </w:rPr>
      </w:pPr>
      <w:r>
        <w:rPr>
          <w:rFonts w:hint="eastAsia" w:ascii="宋体" w:hAnsi="宋体"/>
          <w:b/>
          <w:sz w:val="28"/>
          <w:szCs w:val="28"/>
          <w:u w:val="single"/>
        </w:rPr>
        <w:t xml:space="preserve">连接处布局调整装修          </w:t>
      </w:r>
    </w:p>
    <w:p>
      <w:pPr>
        <w:spacing w:line="680" w:lineRule="exact"/>
        <w:ind w:firstLine="1240" w:firstLineChars="443"/>
        <w:rPr>
          <w:rFonts w:ascii="宋体" w:hAnsi="宋体"/>
          <w:b/>
          <w:sz w:val="28"/>
          <w:szCs w:val="28"/>
          <w:u w:val="single"/>
        </w:rPr>
      </w:pPr>
      <w:r>
        <w:rPr>
          <w:rFonts w:hint="eastAsia" w:ascii="宋体" w:hAnsi="宋体"/>
          <w:sz w:val="28"/>
          <w:szCs w:val="28"/>
        </w:rPr>
        <w:t>工程地点：</w:t>
      </w:r>
      <w:r>
        <w:rPr>
          <w:rFonts w:hint="eastAsia" w:ascii="宋体" w:hAnsi="宋体"/>
          <w:b/>
          <w:sz w:val="28"/>
          <w:szCs w:val="28"/>
          <w:u w:val="single"/>
        </w:rPr>
        <w:t>深圳市罗湖区</w:t>
      </w:r>
    </w:p>
    <w:p>
      <w:pPr>
        <w:spacing w:line="680" w:lineRule="exact"/>
        <w:ind w:firstLine="1240" w:firstLineChars="443"/>
        <w:rPr>
          <w:rFonts w:ascii="宋体" w:hAnsi="宋体"/>
          <w:sz w:val="28"/>
          <w:szCs w:val="28"/>
        </w:rPr>
      </w:pPr>
      <w:r>
        <w:rPr>
          <w:rFonts w:hint="eastAsia" w:ascii="宋体" w:hAnsi="宋体"/>
          <w:sz w:val="28"/>
          <w:szCs w:val="28"/>
        </w:rPr>
        <w:t>合同编号：</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p>
    <w:p>
      <w:pPr>
        <w:spacing w:line="680" w:lineRule="exact"/>
        <w:ind w:firstLine="1240" w:firstLineChars="443"/>
        <w:rPr>
          <w:rFonts w:ascii="宋体" w:hAnsi="宋体"/>
          <w:sz w:val="28"/>
          <w:szCs w:val="28"/>
        </w:rPr>
      </w:pPr>
      <w:r>
        <w:rPr>
          <w:rFonts w:hint="eastAsia" w:ascii="宋体" w:hAnsi="宋体"/>
          <w:sz w:val="28"/>
          <w:szCs w:val="28"/>
        </w:rPr>
        <w:t>设计证书等级：</w:t>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p>
    <w:p>
      <w:pPr>
        <w:spacing w:line="680" w:lineRule="exact"/>
        <w:ind w:firstLine="1240" w:firstLineChars="443"/>
        <w:rPr>
          <w:rFonts w:ascii="宋体" w:hAnsi="宋体"/>
          <w:sz w:val="28"/>
          <w:szCs w:val="28"/>
        </w:rPr>
      </w:pPr>
      <w:r>
        <w:rPr>
          <w:rFonts w:hint="eastAsia" w:ascii="宋体" w:hAnsi="宋体"/>
          <w:sz w:val="28"/>
          <w:szCs w:val="28"/>
        </w:rPr>
        <w:t>发包人（甲方）：</w:t>
      </w:r>
      <w:r>
        <w:rPr>
          <w:rFonts w:hint="eastAsia" w:ascii="宋体" w:hAnsi="宋体"/>
          <w:b/>
          <w:sz w:val="28"/>
          <w:szCs w:val="28"/>
          <w:u w:val="single"/>
        </w:rPr>
        <w:t>深圳市中天实业有限公司</w:t>
      </w:r>
    </w:p>
    <w:p>
      <w:pPr>
        <w:spacing w:line="680" w:lineRule="exact"/>
        <w:ind w:firstLine="1240" w:firstLineChars="443"/>
        <w:rPr>
          <w:rFonts w:ascii="宋体" w:hAnsi="宋体"/>
          <w:sz w:val="28"/>
          <w:szCs w:val="28"/>
        </w:rPr>
      </w:pPr>
      <w:r>
        <w:rPr>
          <w:rFonts w:hint="eastAsia" w:ascii="宋体" w:hAnsi="宋体"/>
          <w:sz w:val="28"/>
          <w:szCs w:val="28"/>
        </w:rPr>
        <w:t xml:space="preserve">设计人（乙方）： </w:t>
      </w:r>
    </w:p>
    <w:p>
      <w:pPr>
        <w:spacing w:line="680" w:lineRule="exact"/>
        <w:ind w:firstLine="1240" w:firstLineChars="443"/>
        <w:rPr>
          <w:sz w:val="24"/>
        </w:rPr>
      </w:pPr>
      <w:r>
        <w:rPr>
          <w:rFonts w:hint="eastAsia" w:ascii="宋体" w:hAnsi="宋体"/>
          <w:sz w:val="28"/>
          <w:szCs w:val="28"/>
        </w:rPr>
        <w:t>签订日期：</w:t>
      </w:r>
      <w:r>
        <w:rPr>
          <w:rFonts w:hint="eastAsia" w:ascii="宋体" w:hAnsi="宋体"/>
          <w:sz w:val="28"/>
          <w:szCs w:val="28"/>
        </w:rPr>
        <w:tab/>
      </w:r>
    </w:p>
    <w:p>
      <w:pPr>
        <w:tabs>
          <w:tab w:val="left" w:pos="1050"/>
          <w:tab w:val="left" w:pos="1260"/>
          <w:tab w:val="left" w:pos="1680"/>
          <w:tab w:val="left" w:pos="4095"/>
          <w:tab w:val="left" w:pos="5355"/>
        </w:tabs>
        <w:spacing w:line="680" w:lineRule="exact"/>
        <w:ind w:left="1260" w:leftChars="600"/>
        <w:jc w:val="left"/>
        <w:rPr>
          <w:rFonts w:ascii="宋体" w:hAnsi="宋体"/>
          <w:sz w:val="28"/>
          <w:szCs w:val="28"/>
        </w:rPr>
      </w:pPr>
    </w:p>
    <w:p>
      <w:pPr>
        <w:tabs>
          <w:tab w:val="left" w:pos="1050"/>
          <w:tab w:val="left" w:pos="1260"/>
          <w:tab w:val="left" w:pos="1680"/>
          <w:tab w:val="left" w:pos="4095"/>
          <w:tab w:val="left" w:pos="5355"/>
        </w:tabs>
        <w:spacing w:line="680" w:lineRule="exact"/>
        <w:ind w:left="1260" w:leftChars="600"/>
        <w:jc w:val="left"/>
        <w:rPr>
          <w:rFonts w:ascii="宋体" w:hAnsi="宋体"/>
          <w:sz w:val="28"/>
          <w:szCs w:val="28"/>
        </w:rPr>
      </w:pPr>
    </w:p>
    <w:p>
      <w:pPr>
        <w:tabs>
          <w:tab w:val="left" w:pos="1050"/>
          <w:tab w:val="left" w:pos="1260"/>
          <w:tab w:val="left" w:pos="1680"/>
          <w:tab w:val="left" w:pos="4095"/>
          <w:tab w:val="left" w:pos="5355"/>
        </w:tabs>
        <w:spacing w:line="360" w:lineRule="auto"/>
        <w:jc w:val="center"/>
        <w:rPr>
          <w:rFonts w:ascii="宋体" w:hAnsi="宋体"/>
          <w:b/>
          <w:bCs/>
          <w:sz w:val="28"/>
          <w:szCs w:val="28"/>
        </w:rPr>
      </w:pPr>
      <w:r>
        <w:rPr>
          <w:rFonts w:hint="eastAsia" w:ascii="宋体" w:hAnsi="宋体"/>
          <w:b/>
          <w:bCs/>
          <w:sz w:val="28"/>
          <w:szCs w:val="28"/>
        </w:rPr>
        <w:t>二〇二三年   月</w:t>
      </w:r>
    </w:p>
    <w:p/>
    <w:p/>
    <w:p/>
    <w:p>
      <w:pPr>
        <w:rPr>
          <w:rFonts w:ascii="宋体" w:hAnsi="宋体" w:eastAsia="宋体"/>
          <w:sz w:val="24"/>
        </w:rPr>
      </w:pPr>
      <w:r>
        <w:rPr>
          <w:rFonts w:hint="eastAsia" w:ascii="宋体" w:hAnsi="宋体" w:eastAsia="宋体"/>
          <w:sz w:val="24"/>
        </w:rPr>
        <w:br w:type="page"/>
      </w:r>
    </w:p>
    <w:p>
      <w:pPr>
        <w:spacing w:line="520" w:lineRule="exact"/>
        <w:rPr>
          <w:rFonts w:ascii="宋体" w:hAnsi="宋体" w:eastAsia="宋体"/>
          <w:sz w:val="24"/>
        </w:rPr>
      </w:pPr>
      <w:r>
        <w:rPr>
          <w:rFonts w:hint="eastAsia" w:ascii="宋体" w:hAnsi="宋体" w:eastAsia="宋体"/>
          <w:sz w:val="24"/>
        </w:rPr>
        <w:t xml:space="preserve">发包人（甲方）：深圳市中天实业有限公司   </w:t>
      </w:r>
    </w:p>
    <w:p>
      <w:pPr>
        <w:spacing w:line="520" w:lineRule="exact"/>
        <w:rPr>
          <w:rFonts w:ascii="宋体" w:hAnsi="宋体" w:eastAsia="宋体"/>
          <w:sz w:val="24"/>
        </w:rPr>
      </w:pPr>
      <w:r>
        <w:rPr>
          <w:rFonts w:hint="eastAsia" w:ascii="宋体" w:hAnsi="宋体" w:eastAsia="宋体"/>
          <w:sz w:val="24"/>
        </w:rPr>
        <w:t>设计人（乙方）：</w:t>
      </w:r>
    </w:p>
    <w:p>
      <w:pPr>
        <w:spacing w:line="520" w:lineRule="exact"/>
        <w:rPr>
          <w:rFonts w:ascii="宋体" w:hAnsi="宋体" w:eastAsia="宋体"/>
          <w:sz w:val="24"/>
        </w:rPr>
      </w:pPr>
      <w:r>
        <w:rPr>
          <w:rFonts w:hint="eastAsia" w:ascii="宋体" w:hAnsi="宋体" w:eastAsia="宋体"/>
          <w:sz w:val="24"/>
        </w:rPr>
        <w:t>甲方委托设计人承担</w:t>
      </w:r>
      <w:r>
        <w:rPr>
          <w:rFonts w:hint="eastAsia" w:ascii="宋体" w:hAnsi="宋体" w:eastAsia="宋体"/>
          <w:sz w:val="24"/>
          <w:u w:val="single"/>
        </w:rPr>
        <w:t>特力珠宝大厦负一楼与水贝国际连接处布局调整装修</w:t>
      </w:r>
      <w:r>
        <w:rPr>
          <w:rFonts w:hint="eastAsia" w:ascii="宋体" w:hAnsi="宋体" w:eastAsia="宋体"/>
          <w:sz w:val="24"/>
        </w:rPr>
        <w:t>（暂定名，以下简称“本工程”或“本项目”）室内设计全过程设计服务，经双方协商一致，签订本合同。</w:t>
      </w:r>
    </w:p>
    <w:p>
      <w:pPr>
        <w:spacing w:line="520" w:lineRule="exact"/>
        <w:ind w:firstLine="480" w:firstLineChars="200"/>
        <w:rPr>
          <w:sz w:val="24"/>
        </w:rPr>
      </w:pPr>
    </w:p>
    <w:p>
      <w:pPr>
        <w:numPr>
          <w:ilvl w:val="0"/>
          <w:numId w:val="5"/>
        </w:numPr>
        <w:spacing w:line="520" w:lineRule="exact"/>
        <w:rPr>
          <w:rFonts w:ascii="宋体" w:hAnsi="宋体" w:eastAsia="宋体"/>
          <w:b/>
          <w:bCs/>
          <w:sz w:val="24"/>
        </w:rPr>
      </w:pPr>
      <w:bookmarkStart w:id="0" w:name="_Toc5125_WPSOffice_Level2"/>
      <w:r>
        <w:rPr>
          <w:rFonts w:hint="eastAsia" w:ascii="宋体" w:hAnsi="宋体" w:eastAsia="宋体"/>
          <w:b/>
          <w:bCs/>
          <w:sz w:val="24"/>
        </w:rPr>
        <w:t>本合同签订依据</w:t>
      </w:r>
      <w:bookmarkEnd w:id="0"/>
      <w:r>
        <w:rPr>
          <w:rFonts w:hint="eastAsia" w:ascii="宋体" w:hAnsi="宋体" w:eastAsia="宋体"/>
          <w:b/>
          <w:bCs/>
          <w:sz w:val="24"/>
        </w:rPr>
        <w:t>和合同的组成部分</w:t>
      </w:r>
    </w:p>
    <w:p>
      <w:pPr>
        <w:numPr>
          <w:ilvl w:val="1"/>
          <w:numId w:val="6"/>
        </w:numPr>
        <w:spacing w:line="520" w:lineRule="exact"/>
        <w:ind w:left="586" w:hanging="585" w:hangingChars="244"/>
        <w:rPr>
          <w:rFonts w:ascii="宋体" w:hAnsi="宋体" w:eastAsia="宋体"/>
          <w:sz w:val="24"/>
        </w:rPr>
      </w:pPr>
      <w:r>
        <w:rPr>
          <w:rFonts w:hint="eastAsia" w:ascii="宋体" w:hAnsi="宋体" w:eastAsia="宋体"/>
          <w:sz w:val="24"/>
        </w:rPr>
        <w:t>签订依据：《中华人民共和国民法典》《中华人民共和国建筑法》《建设工程质量管理条例》《建设工程勘察设计管理条例》《深圳市城市规划条例》，国家及地方有关建筑工程勘察设计管理法规和规章，建筑工程批准文件。</w:t>
      </w:r>
    </w:p>
    <w:p>
      <w:pPr>
        <w:numPr>
          <w:ilvl w:val="1"/>
          <w:numId w:val="6"/>
        </w:numPr>
        <w:spacing w:line="520" w:lineRule="exact"/>
        <w:ind w:left="586" w:hanging="585" w:hangingChars="244"/>
        <w:rPr>
          <w:rFonts w:ascii="宋体" w:hAnsi="宋体" w:eastAsia="宋体"/>
          <w:sz w:val="24"/>
        </w:rPr>
      </w:pPr>
      <w:r>
        <w:rPr>
          <w:rFonts w:hint="eastAsia" w:ascii="宋体" w:hAnsi="宋体" w:eastAsia="宋体"/>
          <w:sz w:val="24"/>
        </w:rPr>
        <w:t>组成部分：（1）设计合同条款（2）中标通知书或委托书（3）招标文件（含澄清文件，如果有）（4）设计技术标准与规范（5）设计任务书（6）投标文件。</w:t>
      </w:r>
    </w:p>
    <w:p>
      <w:pPr>
        <w:numPr>
          <w:ilvl w:val="255"/>
          <w:numId w:val="0"/>
        </w:numPr>
        <w:spacing w:line="520" w:lineRule="exact"/>
        <w:ind w:left="-512" w:leftChars="-244"/>
        <w:rPr>
          <w:rFonts w:ascii="宋体" w:hAnsi="宋体" w:eastAsia="宋体"/>
          <w:sz w:val="24"/>
        </w:rPr>
      </w:pPr>
    </w:p>
    <w:p>
      <w:pPr>
        <w:numPr>
          <w:ilvl w:val="0"/>
          <w:numId w:val="5"/>
        </w:numPr>
        <w:spacing w:line="520" w:lineRule="exact"/>
        <w:rPr>
          <w:rFonts w:ascii="宋体" w:hAnsi="宋体" w:eastAsia="宋体"/>
          <w:b/>
          <w:bCs/>
          <w:sz w:val="24"/>
        </w:rPr>
      </w:pPr>
      <w:bookmarkStart w:id="1" w:name="_Toc14038_WPSOffice_Level2"/>
      <w:r>
        <w:rPr>
          <w:rFonts w:hint="eastAsia" w:ascii="宋体" w:hAnsi="宋体" w:eastAsia="宋体"/>
          <w:b/>
          <w:bCs/>
          <w:sz w:val="24"/>
        </w:rPr>
        <w:t>本合同设计项目的内容</w:t>
      </w:r>
      <w:bookmarkEnd w:id="1"/>
    </w:p>
    <w:p>
      <w:pPr>
        <w:numPr>
          <w:ilvl w:val="1"/>
          <w:numId w:val="7"/>
        </w:numPr>
        <w:spacing w:line="520" w:lineRule="exact"/>
        <w:rPr>
          <w:rFonts w:ascii="宋体" w:hAnsi="宋体" w:eastAsia="宋体"/>
          <w:sz w:val="24"/>
        </w:rPr>
      </w:pPr>
      <w:r>
        <w:rPr>
          <w:rFonts w:hint="eastAsia" w:ascii="宋体" w:hAnsi="宋体" w:eastAsia="宋体"/>
          <w:sz w:val="24"/>
        </w:rPr>
        <w:t>工程名称：</w:t>
      </w:r>
      <w:r>
        <w:rPr>
          <w:rFonts w:hint="eastAsia" w:ascii="宋体" w:hAnsi="宋体" w:eastAsia="宋体"/>
          <w:sz w:val="24"/>
          <w:u w:val="single"/>
        </w:rPr>
        <w:t>特力珠宝大厦负一楼与水贝国际连接处布局调整装修</w:t>
      </w:r>
    </w:p>
    <w:p>
      <w:pPr>
        <w:spacing w:line="560" w:lineRule="exact"/>
        <w:ind w:firstLine="480" w:firstLineChars="200"/>
        <w:rPr>
          <w:rFonts w:ascii="宋体" w:hAnsi="宋体" w:eastAsia="宋体"/>
          <w:sz w:val="24"/>
        </w:rPr>
      </w:pPr>
      <w:r>
        <w:rPr>
          <w:rFonts w:hint="eastAsia" w:ascii="宋体" w:hAnsi="宋体" w:eastAsia="宋体"/>
          <w:sz w:val="24"/>
        </w:rPr>
        <w:t>设计内容：特力珠宝大厦负一楼与水贝国际连接处面积约2065平方米，计划设置为边铺、岛柜等，满足看货、展览，交易等珠宝卖场多种功能要求；充分利用现有负一楼靠近水贝国际处展厅、局部办公等空间，弱化珠宝大厦卖场与其他卖场之间的边界感，对卖场统筹考虑改造为珠宝卖场，进行布局调整装修，增加商业动线、提高人流。需完成上述区域的天花、地板、墙面等的装饰方案、装饰施工图设计、装饰工程配套相关的强弱电、给排水、暖通、软装配饰、消防等专业设计，以及上述工程的施工配合；其它属于室内设计范畴的内容。（详设计任务书）</w:t>
      </w:r>
    </w:p>
    <w:p>
      <w:pPr>
        <w:spacing w:line="520" w:lineRule="exact"/>
        <w:rPr>
          <w:sz w:val="24"/>
        </w:rPr>
      </w:pPr>
    </w:p>
    <w:p>
      <w:pPr>
        <w:spacing w:line="520" w:lineRule="exact"/>
        <w:ind w:left="359" w:leftChars="171"/>
        <w:rPr>
          <w:sz w:val="24"/>
        </w:rPr>
      </w:pPr>
    </w:p>
    <w:p>
      <w:pPr>
        <w:numPr>
          <w:ilvl w:val="0"/>
          <w:numId w:val="5"/>
        </w:numPr>
        <w:spacing w:line="520" w:lineRule="exact"/>
        <w:rPr>
          <w:rFonts w:ascii="宋体" w:hAnsi="宋体" w:eastAsia="宋体"/>
          <w:b/>
          <w:bCs/>
          <w:sz w:val="24"/>
        </w:rPr>
      </w:pPr>
      <w:bookmarkStart w:id="2" w:name="_Toc13365_WPSOffice_Level2"/>
      <w:r>
        <w:rPr>
          <w:rFonts w:hint="eastAsia" w:ascii="宋体" w:hAnsi="宋体" w:eastAsia="宋体"/>
          <w:b/>
          <w:bCs/>
          <w:sz w:val="24"/>
        </w:rPr>
        <w:t>甲方应向乙方提交的有关资料及文</w:t>
      </w:r>
      <w:r>
        <w:rPr>
          <w:rFonts w:hint="eastAsia" w:ascii="宋体" w:hAnsi="宋体" w:eastAsia="宋体" w:cs="宋体"/>
          <w:b/>
          <w:bCs/>
          <w:sz w:val="24"/>
        </w:rPr>
        <w:t>件</w:t>
      </w:r>
    </w:p>
    <w:bookmarkEnd w:id="2"/>
    <w:tbl>
      <w:tblPr>
        <w:tblStyle w:val="9"/>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4210"/>
        <w:gridCol w:w="976"/>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65" w:type="dxa"/>
            <w:vAlign w:val="center"/>
          </w:tcPr>
          <w:p>
            <w:pPr>
              <w:spacing w:line="520" w:lineRule="exact"/>
              <w:jc w:val="center"/>
              <w:rPr>
                <w:rFonts w:ascii="宋体" w:hAnsi="宋体" w:eastAsia="宋体"/>
                <w:sz w:val="24"/>
              </w:rPr>
            </w:pPr>
            <w:r>
              <w:rPr>
                <w:rFonts w:hint="eastAsia" w:ascii="宋体" w:hAnsi="宋体" w:eastAsia="宋体"/>
                <w:sz w:val="24"/>
              </w:rPr>
              <w:t>序号</w:t>
            </w:r>
          </w:p>
        </w:tc>
        <w:tc>
          <w:tcPr>
            <w:tcW w:w="4210" w:type="dxa"/>
            <w:vAlign w:val="center"/>
          </w:tcPr>
          <w:p>
            <w:pPr>
              <w:spacing w:line="520" w:lineRule="exact"/>
              <w:jc w:val="center"/>
              <w:rPr>
                <w:rFonts w:ascii="宋体" w:hAnsi="宋体" w:eastAsia="宋体"/>
                <w:sz w:val="24"/>
              </w:rPr>
            </w:pPr>
            <w:r>
              <w:rPr>
                <w:rFonts w:hint="eastAsia" w:ascii="宋体" w:hAnsi="宋体" w:eastAsia="宋体"/>
                <w:sz w:val="24"/>
              </w:rPr>
              <w:t>资料及文件名称</w:t>
            </w:r>
          </w:p>
        </w:tc>
        <w:tc>
          <w:tcPr>
            <w:tcW w:w="976" w:type="dxa"/>
            <w:vAlign w:val="center"/>
          </w:tcPr>
          <w:p>
            <w:pPr>
              <w:spacing w:line="520" w:lineRule="exact"/>
              <w:jc w:val="center"/>
              <w:rPr>
                <w:rFonts w:ascii="宋体" w:hAnsi="宋体" w:eastAsia="宋体"/>
                <w:sz w:val="24"/>
              </w:rPr>
            </w:pPr>
            <w:r>
              <w:rPr>
                <w:rFonts w:hint="eastAsia" w:ascii="宋体" w:hAnsi="宋体" w:eastAsia="宋体"/>
                <w:sz w:val="24"/>
              </w:rPr>
              <w:t>份数</w:t>
            </w:r>
          </w:p>
        </w:tc>
        <w:tc>
          <w:tcPr>
            <w:tcW w:w="2303" w:type="dxa"/>
            <w:vAlign w:val="center"/>
          </w:tcPr>
          <w:p>
            <w:pPr>
              <w:spacing w:line="520" w:lineRule="exact"/>
              <w:jc w:val="center"/>
              <w:rPr>
                <w:rFonts w:ascii="宋体" w:hAnsi="宋体" w:eastAsia="宋体"/>
                <w:sz w:val="24"/>
              </w:rPr>
            </w:pPr>
            <w:r>
              <w:rPr>
                <w:rFonts w:hint="eastAsia" w:ascii="宋体" w:hAnsi="宋体" w:eastAsia="宋体"/>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65" w:type="dxa"/>
            <w:vAlign w:val="center"/>
          </w:tcPr>
          <w:p>
            <w:pPr>
              <w:spacing w:line="520" w:lineRule="exact"/>
              <w:jc w:val="center"/>
              <w:rPr>
                <w:rFonts w:ascii="宋体" w:hAnsi="宋体" w:eastAsia="宋体"/>
                <w:sz w:val="24"/>
              </w:rPr>
            </w:pPr>
            <w:r>
              <w:rPr>
                <w:rFonts w:hint="eastAsia" w:ascii="宋体" w:hAnsi="宋体" w:eastAsia="宋体"/>
                <w:sz w:val="24"/>
              </w:rPr>
              <w:t>1</w:t>
            </w:r>
          </w:p>
        </w:tc>
        <w:tc>
          <w:tcPr>
            <w:tcW w:w="4210" w:type="dxa"/>
            <w:vAlign w:val="center"/>
          </w:tcPr>
          <w:p>
            <w:pPr>
              <w:spacing w:line="520" w:lineRule="exact"/>
              <w:jc w:val="center"/>
              <w:rPr>
                <w:rFonts w:ascii="宋体" w:hAnsi="宋体" w:eastAsia="宋体"/>
                <w:sz w:val="24"/>
              </w:rPr>
            </w:pPr>
            <w:r>
              <w:rPr>
                <w:rFonts w:hint="eastAsia" w:ascii="宋体" w:hAnsi="宋体" w:eastAsia="宋体"/>
                <w:sz w:val="24"/>
              </w:rPr>
              <w:t>设计任务书</w:t>
            </w:r>
          </w:p>
        </w:tc>
        <w:tc>
          <w:tcPr>
            <w:tcW w:w="976" w:type="dxa"/>
            <w:vAlign w:val="center"/>
          </w:tcPr>
          <w:p>
            <w:pPr>
              <w:spacing w:line="520" w:lineRule="exact"/>
              <w:jc w:val="center"/>
              <w:rPr>
                <w:rFonts w:ascii="宋体" w:hAnsi="宋体" w:eastAsia="宋体"/>
                <w:sz w:val="24"/>
              </w:rPr>
            </w:pPr>
            <w:r>
              <w:rPr>
                <w:rFonts w:hint="eastAsia" w:ascii="宋体" w:hAnsi="宋体" w:eastAsia="宋体"/>
                <w:sz w:val="24"/>
              </w:rPr>
              <w:t>1</w:t>
            </w:r>
          </w:p>
        </w:tc>
        <w:tc>
          <w:tcPr>
            <w:tcW w:w="2303" w:type="dxa"/>
            <w:vAlign w:val="center"/>
          </w:tcPr>
          <w:p>
            <w:pPr>
              <w:spacing w:line="520" w:lineRule="exact"/>
              <w:jc w:val="center"/>
              <w:rPr>
                <w:rFonts w:ascii="宋体" w:hAnsi="宋体" w:eastAsia="宋体"/>
                <w:sz w:val="24"/>
              </w:rPr>
            </w:pPr>
            <w:r>
              <w:rPr>
                <w:rFonts w:hint="eastAsia" w:ascii="宋体" w:hAnsi="宋体" w:eastAsia="宋体"/>
                <w:sz w:val="24"/>
              </w:rPr>
              <w:t>合同签订后3日内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65" w:type="dxa"/>
            <w:vAlign w:val="center"/>
          </w:tcPr>
          <w:p>
            <w:pPr>
              <w:spacing w:line="320" w:lineRule="exact"/>
              <w:jc w:val="center"/>
              <w:rPr>
                <w:rFonts w:ascii="宋体" w:hAnsi="宋体" w:eastAsia="宋体"/>
                <w:sz w:val="24"/>
              </w:rPr>
            </w:pPr>
            <w:r>
              <w:rPr>
                <w:rFonts w:hint="eastAsia" w:ascii="宋体" w:hAnsi="宋体" w:eastAsia="宋体"/>
                <w:sz w:val="24"/>
              </w:rPr>
              <w:t>2</w:t>
            </w:r>
          </w:p>
        </w:tc>
        <w:tc>
          <w:tcPr>
            <w:tcW w:w="4210" w:type="dxa"/>
            <w:vAlign w:val="center"/>
          </w:tcPr>
          <w:p>
            <w:pPr>
              <w:spacing w:line="320" w:lineRule="exact"/>
              <w:jc w:val="center"/>
              <w:rPr>
                <w:rFonts w:ascii="宋体" w:hAnsi="宋体" w:eastAsia="宋体"/>
                <w:sz w:val="24"/>
              </w:rPr>
            </w:pPr>
            <w:r>
              <w:rPr>
                <w:rFonts w:hint="eastAsia" w:ascii="宋体" w:hAnsi="宋体" w:eastAsia="宋体"/>
                <w:sz w:val="24"/>
              </w:rPr>
              <w:t>建筑平面图</w:t>
            </w:r>
          </w:p>
        </w:tc>
        <w:tc>
          <w:tcPr>
            <w:tcW w:w="976" w:type="dxa"/>
            <w:vAlign w:val="center"/>
          </w:tcPr>
          <w:p>
            <w:pPr>
              <w:spacing w:line="320" w:lineRule="exact"/>
              <w:jc w:val="center"/>
              <w:rPr>
                <w:rFonts w:ascii="宋体" w:hAnsi="宋体" w:eastAsia="宋体"/>
                <w:sz w:val="24"/>
              </w:rPr>
            </w:pPr>
            <w:r>
              <w:rPr>
                <w:rFonts w:hint="eastAsia" w:ascii="宋体" w:hAnsi="宋体" w:eastAsia="宋体"/>
                <w:sz w:val="24"/>
              </w:rPr>
              <w:t>1</w:t>
            </w:r>
          </w:p>
        </w:tc>
        <w:tc>
          <w:tcPr>
            <w:tcW w:w="2303" w:type="dxa"/>
            <w:vAlign w:val="center"/>
          </w:tcPr>
          <w:p>
            <w:pPr>
              <w:spacing w:line="320" w:lineRule="exact"/>
              <w:jc w:val="center"/>
              <w:rPr>
                <w:rFonts w:ascii="宋体" w:hAnsi="宋体" w:eastAsia="宋体"/>
                <w:sz w:val="24"/>
              </w:rPr>
            </w:pPr>
            <w:r>
              <w:rPr>
                <w:rFonts w:hint="eastAsia" w:ascii="宋体" w:hAnsi="宋体" w:eastAsia="宋体"/>
                <w:sz w:val="24"/>
              </w:rPr>
              <w:t>合同签订后3日内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65" w:type="dxa"/>
            <w:vAlign w:val="center"/>
          </w:tcPr>
          <w:p>
            <w:pPr>
              <w:spacing w:line="320" w:lineRule="exact"/>
              <w:jc w:val="center"/>
              <w:rPr>
                <w:rFonts w:ascii="宋体" w:hAnsi="宋体" w:eastAsia="宋体"/>
                <w:sz w:val="24"/>
              </w:rPr>
            </w:pPr>
            <w:r>
              <w:rPr>
                <w:rFonts w:hint="eastAsia" w:ascii="宋体" w:hAnsi="宋体" w:eastAsia="宋体"/>
                <w:sz w:val="24"/>
              </w:rPr>
              <w:t>3</w:t>
            </w:r>
          </w:p>
        </w:tc>
        <w:tc>
          <w:tcPr>
            <w:tcW w:w="4210" w:type="dxa"/>
            <w:vAlign w:val="center"/>
          </w:tcPr>
          <w:p>
            <w:pPr>
              <w:spacing w:line="320" w:lineRule="exact"/>
              <w:jc w:val="center"/>
              <w:rPr>
                <w:rFonts w:ascii="宋体" w:hAnsi="宋体" w:eastAsia="宋体"/>
                <w:sz w:val="24"/>
              </w:rPr>
            </w:pPr>
            <w:r>
              <w:rPr>
                <w:rFonts w:hint="eastAsia" w:ascii="宋体" w:hAnsi="宋体" w:eastAsia="宋体"/>
                <w:sz w:val="24"/>
              </w:rPr>
              <w:t>其他装修设计必要的相关资料及文件</w:t>
            </w:r>
          </w:p>
        </w:tc>
        <w:tc>
          <w:tcPr>
            <w:tcW w:w="976" w:type="dxa"/>
            <w:vAlign w:val="center"/>
          </w:tcPr>
          <w:p>
            <w:pPr>
              <w:spacing w:line="320" w:lineRule="exact"/>
              <w:jc w:val="center"/>
              <w:rPr>
                <w:rFonts w:ascii="宋体" w:hAnsi="宋体" w:eastAsia="宋体"/>
                <w:sz w:val="24"/>
              </w:rPr>
            </w:pPr>
          </w:p>
        </w:tc>
        <w:tc>
          <w:tcPr>
            <w:tcW w:w="2303" w:type="dxa"/>
            <w:vAlign w:val="center"/>
          </w:tcPr>
          <w:p>
            <w:pPr>
              <w:spacing w:line="320" w:lineRule="exact"/>
              <w:jc w:val="center"/>
              <w:rPr>
                <w:rFonts w:ascii="宋体" w:hAnsi="宋体" w:eastAsia="宋体"/>
                <w:sz w:val="24"/>
              </w:rPr>
            </w:pPr>
          </w:p>
        </w:tc>
      </w:tr>
    </w:tbl>
    <w:p>
      <w:pPr>
        <w:spacing w:line="520" w:lineRule="exact"/>
        <w:rPr>
          <w:b/>
          <w:bCs/>
          <w:sz w:val="28"/>
        </w:rPr>
      </w:pPr>
    </w:p>
    <w:p>
      <w:pPr>
        <w:numPr>
          <w:ilvl w:val="0"/>
          <w:numId w:val="5"/>
        </w:numPr>
        <w:spacing w:line="520" w:lineRule="exact"/>
        <w:rPr>
          <w:rFonts w:ascii="宋体" w:hAnsi="宋体" w:eastAsia="宋体"/>
          <w:b/>
          <w:bCs/>
          <w:sz w:val="24"/>
        </w:rPr>
      </w:pPr>
      <w:bookmarkStart w:id="3" w:name="_Toc11095_WPSOffice_Level2"/>
      <w:r>
        <w:rPr>
          <w:rFonts w:hint="eastAsia" w:ascii="宋体" w:hAnsi="宋体" w:eastAsia="宋体"/>
          <w:b/>
          <w:bCs/>
          <w:sz w:val="24"/>
        </w:rPr>
        <w:t>乙方服务内容</w:t>
      </w:r>
      <w:r>
        <w:rPr>
          <w:rFonts w:ascii="宋体" w:hAnsi="宋体" w:eastAsia="宋体"/>
          <w:b/>
          <w:bCs/>
          <w:sz w:val="24"/>
        </w:rPr>
        <w:t>、设计周期及提交设计文件</w:t>
      </w:r>
      <w:bookmarkEnd w:id="3"/>
    </w:p>
    <w:p>
      <w:pPr>
        <w:numPr>
          <w:ilvl w:val="1"/>
          <w:numId w:val="8"/>
        </w:numPr>
        <w:spacing w:line="520" w:lineRule="exact"/>
        <w:jc w:val="left"/>
        <w:rPr>
          <w:rFonts w:ascii="宋体" w:hAnsi="宋体" w:eastAsia="宋体"/>
          <w:sz w:val="24"/>
        </w:rPr>
      </w:pPr>
      <w:r>
        <w:rPr>
          <w:rFonts w:hint="eastAsia" w:ascii="宋体" w:hAnsi="宋体" w:eastAsia="宋体"/>
          <w:sz w:val="24"/>
        </w:rPr>
        <w:t>服务范围及内容</w:t>
      </w:r>
    </w:p>
    <w:p>
      <w:pPr>
        <w:numPr>
          <w:ilvl w:val="2"/>
          <w:numId w:val="8"/>
        </w:numPr>
        <w:spacing w:line="360" w:lineRule="auto"/>
        <w:ind w:left="889" w:hanging="889"/>
        <w:jc w:val="left"/>
        <w:rPr>
          <w:rFonts w:ascii="宋体" w:hAnsi="宋体" w:eastAsia="宋体"/>
          <w:sz w:val="24"/>
        </w:rPr>
      </w:pPr>
      <w:r>
        <w:rPr>
          <w:rFonts w:hint="eastAsia" w:ascii="宋体" w:hAnsi="宋体" w:eastAsia="宋体"/>
          <w:sz w:val="24"/>
        </w:rPr>
        <w:t>设计服务范围：合同约定内包括室内装饰专业、强弱电专业、给排水专业、暖通专业、消防设计和与本次设计图纸相关等设计内容。</w:t>
      </w:r>
    </w:p>
    <w:p>
      <w:pPr>
        <w:numPr>
          <w:ilvl w:val="2"/>
          <w:numId w:val="8"/>
        </w:numPr>
        <w:spacing w:line="360" w:lineRule="auto"/>
        <w:ind w:left="889" w:hanging="889"/>
        <w:jc w:val="left"/>
        <w:rPr>
          <w:rFonts w:ascii="宋体" w:hAnsi="宋体" w:eastAsia="宋体"/>
          <w:sz w:val="24"/>
        </w:rPr>
      </w:pPr>
      <w:r>
        <w:rPr>
          <w:rFonts w:hint="eastAsia" w:ascii="宋体" w:hAnsi="宋体" w:eastAsia="宋体"/>
          <w:sz w:val="24"/>
        </w:rPr>
        <w:t>服务内容：方案设计、施工图设计、施工配合、竣工验收配合、竣工图审核等涉及本项目的一切设计工作、与设计相关的配合工作。</w:t>
      </w:r>
    </w:p>
    <w:p>
      <w:pPr>
        <w:numPr>
          <w:ilvl w:val="2"/>
          <w:numId w:val="8"/>
        </w:numPr>
        <w:spacing w:line="520" w:lineRule="exact"/>
        <w:ind w:left="588" w:right="113" w:hanging="588" w:hangingChars="245"/>
        <w:jc w:val="left"/>
        <w:rPr>
          <w:rFonts w:ascii="宋体" w:hAnsi="宋体" w:eastAsia="宋体"/>
          <w:sz w:val="24"/>
        </w:rPr>
      </w:pPr>
      <w:r>
        <w:rPr>
          <w:rFonts w:hint="eastAsia" w:ascii="宋体" w:hAnsi="宋体" w:eastAsia="宋体"/>
          <w:sz w:val="24"/>
        </w:rPr>
        <w:t>各阶段成果包括：</w:t>
      </w:r>
      <w:bookmarkStart w:id="4" w:name="_Toc27599_WPSOffice_Level1"/>
      <w:r>
        <w:rPr>
          <w:rFonts w:hint="eastAsia" w:ascii="宋体" w:hAnsi="宋体" w:eastAsia="宋体"/>
          <w:kern w:val="0"/>
          <w:sz w:val="24"/>
        </w:rPr>
        <w:t>详见附件《设计任务书》。</w:t>
      </w:r>
    </w:p>
    <w:p>
      <w:pPr>
        <w:numPr>
          <w:ilvl w:val="1"/>
          <w:numId w:val="9"/>
        </w:numPr>
        <w:spacing w:line="520" w:lineRule="exact"/>
        <w:ind w:left="588" w:right="113" w:hanging="588" w:hangingChars="245"/>
        <w:jc w:val="left"/>
        <w:rPr>
          <w:rFonts w:ascii="宋体" w:hAnsi="宋体" w:eastAsia="宋体"/>
          <w:sz w:val="24"/>
        </w:rPr>
      </w:pPr>
      <w:r>
        <w:rPr>
          <w:rFonts w:hint="eastAsia" w:ascii="宋体" w:hAnsi="宋体" w:eastAsia="宋体"/>
          <w:kern w:val="0"/>
          <w:sz w:val="24"/>
        </w:rPr>
        <w:t>设计进度</w:t>
      </w:r>
      <w:bookmarkEnd w:id="4"/>
      <w:r>
        <w:rPr>
          <w:rFonts w:hint="eastAsia" w:ascii="宋体" w:hAnsi="宋体" w:eastAsia="宋体"/>
          <w:kern w:val="0"/>
          <w:sz w:val="24"/>
        </w:rPr>
        <w:t>及时间要求：详见附件《设计任务书》</w:t>
      </w:r>
      <w:r>
        <w:rPr>
          <w:rFonts w:hint="eastAsia" w:ascii="宋体" w:hAnsi="宋体" w:eastAsia="宋体"/>
          <w:sz w:val="24"/>
        </w:rPr>
        <w:t>。</w:t>
      </w:r>
    </w:p>
    <w:p>
      <w:pPr>
        <w:numPr>
          <w:ilvl w:val="255"/>
          <w:numId w:val="0"/>
        </w:numPr>
        <w:spacing w:line="520" w:lineRule="exact"/>
        <w:ind w:left="-514" w:leftChars="-245" w:right="113"/>
        <w:jc w:val="left"/>
        <w:rPr>
          <w:rFonts w:ascii="宋体" w:hAnsi="宋体" w:eastAsia="宋体"/>
          <w:sz w:val="24"/>
        </w:rPr>
      </w:pPr>
    </w:p>
    <w:p>
      <w:pPr>
        <w:numPr>
          <w:ilvl w:val="0"/>
          <w:numId w:val="5"/>
        </w:numPr>
        <w:spacing w:line="520" w:lineRule="exact"/>
        <w:rPr>
          <w:rFonts w:ascii="宋体" w:hAnsi="宋体" w:eastAsia="宋体"/>
          <w:b/>
          <w:bCs/>
          <w:sz w:val="24"/>
        </w:rPr>
      </w:pPr>
      <w:bookmarkStart w:id="5" w:name="_Toc22052_WPSOffice_Level2"/>
      <w:r>
        <w:rPr>
          <w:rFonts w:hint="eastAsia" w:ascii="宋体" w:hAnsi="宋体" w:eastAsia="宋体"/>
          <w:b/>
          <w:bCs/>
          <w:sz w:val="24"/>
        </w:rPr>
        <w:t>设计费及付款方式</w:t>
      </w:r>
      <w:bookmarkEnd w:id="5"/>
    </w:p>
    <w:p>
      <w:pPr>
        <w:numPr>
          <w:ilvl w:val="1"/>
          <w:numId w:val="10"/>
        </w:numPr>
        <w:spacing w:before="156" w:beforeLines="50" w:after="156" w:afterLines="50" w:line="360" w:lineRule="auto"/>
        <w:jc w:val="left"/>
        <w:rPr>
          <w:rFonts w:ascii="宋体" w:hAnsi="宋体" w:eastAsia="宋体"/>
          <w:kern w:val="0"/>
          <w:sz w:val="24"/>
        </w:rPr>
      </w:pPr>
      <w:r>
        <w:rPr>
          <w:rFonts w:hint="eastAsia" w:ascii="宋体" w:hAnsi="宋体" w:eastAsia="宋体"/>
          <w:kern w:val="0"/>
          <w:sz w:val="24"/>
        </w:rPr>
        <w:t>本合同的总设计费为方案设计、初步设计、招标图、施工图设计及施工服务配合</w:t>
      </w:r>
      <w:r>
        <w:rPr>
          <w:rFonts w:ascii="宋体" w:hAnsi="宋体" w:eastAsia="宋体"/>
          <w:sz w:val="24"/>
        </w:rPr>
        <w:t>、竣工验收</w:t>
      </w:r>
      <w:r>
        <w:rPr>
          <w:rFonts w:hint="eastAsia" w:ascii="宋体" w:hAnsi="宋体" w:eastAsia="宋体"/>
          <w:sz w:val="24"/>
        </w:rPr>
        <w:t>配合</w:t>
      </w:r>
      <w:r>
        <w:rPr>
          <w:rFonts w:ascii="宋体" w:hAnsi="宋体" w:eastAsia="宋体"/>
          <w:sz w:val="24"/>
        </w:rPr>
        <w:t>、竣工图</w:t>
      </w:r>
      <w:r>
        <w:rPr>
          <w:rFonts w:hint="eastAsia" w:ascii="宋体" w:hAnsi="宋体" w:eastAsia="宋体"/>
          <w:sz w:val="24"/>
        </w:rPr>
        <w:t>审核</w:t>
      </w:r>
      <w:r>
        <w:rPr>
          <w:rFonts w:ascii="宋体" w:hAnsi="宋体" w:eastAsia="宋体"/>
          <w:sz w:val="24"/>
        </w:rPr>
        <w:t>等涉及本项目的一切设计工作</w:t>
      </w:r>
      <w:r>
        <w:rPr>
          <w:rFonts w:hint="eastAsia" w:ascii="宋体" w:hAnsi="宋体" w:eastAsia="宋体"/>
          <w:kern w:val="0"/>
          <w:sz w:val="24"/>
        </w:rPr>
        <w:t>费用之和，设计费用暂按</w:t>
      </w:r>
      <w:r>
        <w:rPr>
          <w:rFonts w:hint="eastAsia" w:ascii="宋体" w:hAnsi="宋体" w:eastAsia="宋体"/>
          <w:sz w:val="24"/>
        </w:rPr>
        <w:t>2065平方米</w:t>
      </w:r>
      <w:r>
        <w:rPr>
          <w:rFonts w:hint="eastAsia" w:ascii="宋体" w:hAnsi="宋体" w:eastAsia="宋体"/>
          <w:kern w:val="0"/>
          <w:sz w:val="24"/>
        </w:rPr>
        <w:t>面积计取（</w:t>
      </w:r>
      <w:r>
        <w:rPr>
          <w:rFonts w:hint="eastAsia" w:ascii="宋体" w:hAnsi="宋体" w:eastAsia="宋体"/>
          <w:sz w:val="24"/>
        </w:rPr>
        <w:t>特力珠宝大厦负一楼与水贝国际连接处面积约2065平方米</w:t>
      </w:r>
      <w:r>
        <w:rPr>
          <w:rFonts w:hint="eastAsia" w:ascii="宋体" w:hAnsi="宋体" w:eastAsia="宋体"/>
          <w:kern w:val="0"/>
          <w:sz w:val="24"/>
        </w:rPr>
        <w:t xml:space="preserve">），实际设计面积在2065平方米基础上增减±10%以内时设计费总价不作调整，增减超过±10%的，按合同单价（即： </w:t>
      </w:r>
      <w:r>
        <w:rPr>
          <w:rFonts w:ascii="宋体" w:hAnsi="宋体" w:eastAsia="宋体"/>
          <w:kern w:val="0"/>
          <w:sz w:val="24"/>
        </w:rPr>
        <w:t xml:space="preserve">  元</w:t>
      </w:r>
      <w:r>
        <w:rPr>
          <w:rFonts w:hint="eastAsia" w:ascii="宋体" w:hAnsi="宋体" w:eastAsia="宋体"/>
          <w:kern w:val="0"/>
          <w:sz w:val="24"/>
        </w:rPr>
        <w:t>/</w:t>
      </w:r>
      <w:r>
        <w:rPr>
          <w:rFonts w:ascii="宋体" w:hAnsi="宋体" w:eastAsia="宋体"/>
          <w:kern w:val="0"/>
          <w:sz w:val="24"/>
        </w:rPr>
        <w:t>㎡</w:t>
      </w:r>
      <w:r>
        <w:rPr>
          <w:rFonts w:hint="eastAsia" w:ascii="宋体" w:hAnsi="宋体" w:eastAsia="宋体"/>
          <w:kern w:val="0"/>
          <w:sz w:val="24"/>
        </w:rPr>
        <w:t>）及实际设计面积结算（即：结算价=实际设计面积x合同单价），乙方按甲方付款额度据实开具增值税专用发票在付款前交至甲方。</w:t>
      </w:r>
    </w:p>
    <w:p>
      <w:pPr>
        <w:numPr>
          <w:ilvl w:val="1"/>
          <w:numId w:val="11"/>
        </w:numPr>
        <w:spacing w:before="156" w:beforeLines="50" w:line="360" w:lineRule="auto"/>
        <w:jc w:val="left"/>
        <w:rPr>
          <w:rFonts w:ascii="宋体" w:hAnsi="宋体" w:eastAsia="宋体"/>
          <w:kern w:val="0"/>
          <w:sz w:val="24"/>
        </w:rPr>
      </w:pPr>
      <w:r>
        <w:rPr>
          <w:rFonts w:hint="eastAsia" w:ascii="宋体" w:hAnsi="宋体" w:eastAsia="宋体"/>
          <w:kern w:val="0"/>
          <w:sz w:val="24"/>
        </w:rPr>
        <w:t>本合同为固定单价合同，合同暂定总价（含税）为人民币</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rPr>
        <w:t xml:space="preserve">万元（大写：整），其中增值税税率为 </w:t>
      </w:r>
      <w:r>
        <w:rPr>
          <w:rFonts w:ascii="宋体" w:hAnsi="宋体" w:eastAsia="宋体"/>
          <w:kern w:val="0"/>
          <w:sz w:val="24"/>
        </w:rPr>
        <w:t xml:space="preserve">     </w:t>
      </w:r>
      <w:r>
        <w:rPr>
          <w:rFonts w:hint="eastAsia" w:ascii="宋体" w:hAnsi="宋体" w:eastAsia="宋体"/>
          <w:kern w:val="0"/>
          <w:sz w:val="24"/>
        </w:rPr>
        <w:t>，</w:t>
      </w:r>
      <w:r>
        <w:rPr>
          <w:rFonts w:ascii="宋体" w:hAnsi="宋体" w:eastAsia="宋体"/>
          <w:kern w:val="0"/>
          <w:sz w:val="24"/>
        </w:rPr>
        <w:t>不含税</w:t>
      </w:r>
      <w:r>
        <w:rPr>
          <w:rFonts w:hint="eastAsia" w:ascii="宋体" w:hAnsi="宋体" w:eastAsia="宋体"/>
          <w:kern w:val="0"/>
          <w:sz w:val="24"/>
        </w:rPr>
        <w:t>合同</w:t>
      </w:r>
      <w:r>
        <w:rPr>
          <w:rFonts w:ascii="宋体" w:hAnsi="宋体" w:eastAsia="宋体"/>
          <w:kern w:val="0"/>
          <w:sz w:val="24"/>
        </w:rPr>
        <w:t>价格为</w:t>
      </w:r>
      <w:r>
        <w:rPr>
          <w:rFonts w:hint="eastAsia" w:ascii="宋体" w:hAnsi="宋体" w:eastAsia="宋体"/>
          <w:kern w:val="0"/>
          <w:sz w:val="24"/>
        </w:rPr>
        <w:t xml:space="preserve"> </w:t>
      </w:r>
      <w:r>
        <w:rPr>
          <w:rFonts w:ascii="宋体" w:hAnsi="宋体" w:eastAsia="宋体"/>
          <w:kern w:val="0"/>
          <w:sz w:val="24"/>
        </w:rPr>
        <w:t xml:space="preserve">     万元</w:t>
      </w:r>
      <w:r>
        <w:rPr>
          <w:rFonts w:hint="eastAsia" w:ascii="宋体" w:hAnsi="宋体" w:eastAsia="宋体"/>
          <w:kern w:val="0"/>
          <w:sz w:val="24"/>
        </w:rPr>
        <w:t>。</w:t>
      </w:r>
    </w:p>
    <w:p>
      <w:pPr>
        <w:numPr>
          <w:ilvl w:val="2"/>
          <w:numId w:val="11"/>
        </w:numPr>
        <w:spacing w:line="360" w:lineRule="auto"/>
        <w:ind w:left="889" w:hanging="889"/>
        <w:jc w:val="left"/>
        <w:rPr>
          <w:rFonts w:ascii="宋体" w:hAnsi="宋体" w:eastAsia="宋体"/>
          <w:kern w:val="0"/>
          <w:sz w:val="24"/>
        </w:rPr>
      </w:pPr>
      <w:r>
        <w:rPr>
          <w:rFonts w:hint="eastAsia" w:ascii="宋体" w:hAnsi="宋体" w:eastAsia="宋体"/>
          <w:kern w:val="0"/>
          <w:sz w:val="24"/>
        </w:rPr>
        <w:t>上述费用包括乙方完成本招标项目设计所有工作量和提供全套设计文件（满足设计任务书要求的图纸份数）及后续服务的全部费用，除此之外，甲方无需向乙方支付其他任何费用。主要包括（但不限于）：</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完成本合同第四条所有工作内容和工作成果的全部费用；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按甲方的要求提供商户招标（包括但不限于各种施工招标、监理招标、室内精装修设计招标、设备和材料采购招标）所需的工程图纸、各种相关资料、材料样板及配合招标服务等的费用；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协助配合工程造价咨询公司编制工程量清单及招标控制价（或标底）所发生的费用；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施工期间提供合同</w:t>
      </w:r>
      <w:r>
        <w:rPr>
          <w:rFonts w:ascii="宋体" w:hAnsi="宋体" w:eastAsia="宋体"/>
          <w:kern w:val="0"/>
          <w:sz w:val="24"/>
        </w:rPr>
        <w:t>约定范围内的</w:t>
      </w:r>
      <w:r>
        <w:rPr>
          <w:rFonts w:hint="eastAsia" w:ascii="宋体" w:hAnsi="宋体" w:eastAsia="宋体"/>
          <w:kern w:val="0"/>
          <w:sz w:val="24"/>
        </w:rPr>
        <w:t>设计变更（含设计不符合规范及不合理引起的变更等，</w:t>
      </w:r>
      <w:r>
        <w:rPr>
          <w:rFonts w:ascii="宋体" w:hAnsi="宋体" w:eastAsia="宋体"/>
          <w:kern w:val="0"/>
          <w:sz w:val="24"/>
        </w:rPr>
        <w:t>但</w:t>
      </w:r>
      <w:r>
        <w:rPr>
          <w:rFonts w:hint="eastAsia" w:ascii="宋体" w:hAnsi="宋体" w:eastAsia="宋体"/>
          <w:kern w:val="0"/>
          <w:sz w:val="24"/>
        </w:rPr>
        <w:t>因</w:t>
      </w:r>
      <w:r>
        <w:rPr>
          <w:rFonts w:ascii="宋体" w:hAnsi="宋体" w:eastAsia="宋体"/>
          <w:kern w:val="0"/>
          <w:sz w:val="24"/>
        </w:rPr>
        <w:t>相关设计规范</w:t>
      </w:r>
      <w:r>
        <w:rPr>
          <w:rFonts w:hint="eastAsia" w:ascii="宋体" w:hAnsi="宋体" w:eastAsia="宋体"/>
          <w:kern w:val="0"/>
          <w:sz w:val="24"/>
        </w:rPr>
        <w:t>变化</w:t>
      </w:r>
      <w:r>
        <w:rPr>
          <w:rFonts w:ascii="宋体" w:hAnsi="宋体" w:eastAsia="宋体"/>
          <w:kern w:val="0"/>
          <w:sz w:val="24"/>
        </w:rPr>
        <w:t>造成的变更除外</w:t>
      </w:r>
      <w:r>
        <w:rPr>
          <w:rFonts w:hint="eastAsia" w:ascii="宋体" w:hAnsi="宋体" w:eastAsia="宋体"/>
          <w:kern w:val="0"/>
          <w:sz w:val="24"/>
        </w:rPr>
        <w:t>）等后续服务的费用；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完成竣工图审核的费用；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为完成本合同规定的义务，乙方必须缴纳的税费及其它一切费用；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包含乙方在完成本合同约定工作内容所发生的一切应付费用包含但不限于乙方人员往来项目进行现场查勘、设计成果汇报、图纸交底、设计变更（含优化设计变更、设计不符合规范及不合理引起的变更等）、验收、咨询等全部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政府及相关单位审批配合工作所需要的费用，包括但不限于设计各阶段中政府主管部门及相关单位审查批准过程中而出现的合同约定</w:t>
      </w:r>
      <w:r>
        <w:rPr>
          <w:rFonts w:ascii="宋体" w:hAnsi="宋体" w:eastAsia="宋体"/>
          <w:kern w:val="0"/>
          <w:sz w:val="24"/>
        </w:rPr>
        <w:t>范围内的</w:t>
      </w:r>
      <w:r>
        <w:rPr>
          <w:rFonts w:hint="eastAsia" w:ascii="宋体" w:hAnsi="宋体" w:eastAsia="宋体"/>
          <w:kern w:val="0"/>
          <w:sz w:val="24"/>
        </w:rPr>
        <w:t>修改（包括但不限于规划、消防、人防、安防等审批过程中的合同约定</w:t>
      </w:r>
      <w:r>
        <w:rPr>
          <w:rFonts w:ascii="宋体" w:hAnsi="宋体" w:eastAsia="宋体"/>
          <w:kern w:val="0"/>
          <w:sz w:val="24"/>
        </w:rPr>
        <w:t>范围内的</w:t>
      </w:r>
      <w:r>
        <w:rPr>
          <w:rFonts w:hint="eastAsia" w:ascii="宋体" w:hAnsi="宋体" w:eastAsia="宋体"/>
          <w:kern w:val="0"/>
          <w:sz w:val="24"/>
        </w:rPr>
        <w:t>修改）等工作内容所产生的费用。</w:t>
      </w:r>
    </w:p>
    <w:p>
      <w:pPr>
        <w:numPr>
          <w:ilvl w:val="1"/>
          <w:numId w:val="11"/>
        </w:numPr>
        <w:spacing w:line="360" w:lineRule="auto"/>
        <w:jc w:val="left"/>
        <w:rPr>
          <w:rFonts w:ascii="宋体" w:hAnsi="宋体" w:eastAsia="宋体"/>
          <w:kern w:val="0"/>
          <w:sz w:val="24"/>
        </w:rPr>
      </w:pPr>
      <w:r>
        <w:rPr>
          <w:rFonts w:hint="eastAsia" w:ascii="宋体" w:hAnsi="宋体" w:eastAsia="宋体"/>
          <w:kern w:val="0"/>
          <w:sz w:val="24"/>
        </w:rPr>
        <w:t>设计费支付进度详见下表：</w:t>
      </w:r>
    </w:p>
    <w:tbl>
      <w:tblPr>
        <w:tblStyle w:val="9"/>
        <w:tblW w:w="7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658"/>
        <w:gridCol w:w="282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85" w:type="dxa"/>
          </w:tcPr>
          <w:p>
            <w:pPr>
              <w:spacing w:line="480" w:lineRule="exact"/>
              <w:jc w:val="center"/>
              <w:rPr>
                <w:rFonts w:ascii="等线" w:hAnsi="等线" w:eastAsia="等线"/>
                <w:sz w:val="24"/>
              </w:rPr>
            </w:pPr>
            <w:r>
              <w:rPr>
                <w:rFonts w:hint="eastAsia" w:ascii="等线" w:hAnsi="等线" w:eastAsia="等线"/>
                <w:sz w:val="24"/>
              </w:rPr>
              <w:t>付费次序</w:t>
            </w:r>
          </w:p>
        </w:tc>
        <w:tc>
          <w:tcPr>
            <w:tcW w:w="1658" w:type="dxa"/>
          </w:tcPr>
          <w:p>
            <w:pPr>
              <w:spacing w:line="480" w:lineRule="exact"/>
              <w:jc w:val="center"/>
              <w:rPr>
                <w:rFonts w:ascii="等线" w:hAnsi="等线" w:eastAsia="等线"/>
                <w:sz w:val="24"/>
              </w:rPr>
            </w:pPr>
            <w:r>
              <w:rPr>
                <w:rFonts w:hint="eastAsia" w:ascii="等线" w:hAnsi="等线" w:eastAsia="等线"/>
                <w:sz w:val="24"/>
              </w:rPr>
              <w:t>占总设计费%</w:t>
            </w:r>
          </w:p>
        </w:tc>
        <w:tc>
          <w:tcPr>
            <w:tcW w:w="2827" w:type="dxa"/>
          </w:tcPr>
          <w:p>
            <w:pPr>
              <w:spacing w:line="480" w:lineRule="exact"/>
              <w:jc w:val="center"/>
              <w:rPr>
                <w:rFonts w:ascii="等线" w:hAnsi="等线" w:eastAsia="等线"/>
                <w:sz w:val="24"/>
              </w:rPr>
            </w:pPr>
            <w:r>
              <w:rPr>
                <w:rFonts w:hint="eastAsia" w:ascii="等线" w:hAnsi="等线" w:eastAsia="等线"/>
                <w:sz w:val="24"/>
              </w:rPr>
              <w:t>付费时间</w:t>
            </w:r>
          </w:p>
        </w:tc>
        <w:tc>
          <w:tcPr>
            <w:tcW w:w="1347" w:type="dxa"/>
          </w:tcPr>
          <w:p>
            <w:pPr>
              <w:spacing w:line="480" w:lineRule="exact"/>
              <w:jc w:val="center"/>
              <w:rPr>
                <w:rFonts w:ascii="等线" w:hAnsi="等线" w:eastAsia="等线"/>
                <w:sz w:val="24"/>
              </w:rPr>
            </w:pPr>
            <w:r>
              <w:rPr>
                <w:rFonts w:hint="eastAsia" w:ascii="等线" w:hAnsi="等线" w:eastAsia="等线"/>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85" w:type="dxa"/>
            <w:vAlign w:val="center"/>
          </w:tcPr>
          <w:p>
            <w:pPr>
              <w:spacing w:line="480" w:lineRule="exact"/>
              <w:jc w:val="center"/>
              <w:rPr>
                <w:rFonts w:ascii="等线" w:hAnsi="等线" w:eastAsia="等线"/>
                <w:sz w:val="24"/>
              </w:rPr>
            </w:pPr>
            <w:r>
              <w:rPr>
                <w:rFonts w:hint="eastAsia" w:ascii="等线" w:hAnsi="等线" w:eastAsia="等线"/>
                <w:sz w:val="24"/>
              </w:rPr>
              <w:t>第一次付费</w:t>
            </w:r>
          </w:p>
        </w:tc>
        <w:tc>
          <w:tcPr>
            <w:tcW w:w="1658" w:type="dxa"/>
            <w:vAlign w:val="center"/>
          </w:tcPr>
          <w:p>
            <w:pPr>
              <w:spacing w:line="480" w:lineRule="exact"/>
              <w:jc w:val="center"/>
              <w:rPr>
                <w:rFonts w:ascii="等线" w:hAnsi="等线" w:eastAsia="等线"/>
                <w:sz w:val="24"/>
              </w:rPr>
            </w:pPr>
            <w:r>
              <w:rPr>
                <w:rFonts w:ascii="等线" w:hAnsi="等线" w:eastAsia="等线"/>
                <w:sz w:val="24"/>
              </w:rPr>
              <w:t>2</w:t>
            </w:r>
            <w:r>
              <w:rPr>
                <w:rFonts w:hint="eastAsia" w:ascii="等线" w:hAnsi="等线" w:eastAsia="等线"/>
                <w:sz w:val="24"/>
              </w:rPr>
              <w:t>0%</w:t>
            </w:r>
          </w:p>
        </w:tc>
        <w:tc>
          <w:tcPr>
            <w:tcW w:w="2827" w:type="dxa"/>
            <w:vAlign w:val="center"/>
          </w:tcPr>
          <w:p>
            <w:pPr>
              <w:spacing w:line="480" w:lineRule="exact"/>
              <w:jc w:val="left"/>
              <w:rPr>
                <w:rFonts w:ascii="等线" w:hAnsi="等线" w:eastAsia="等线"/>
                <w:sz w:val="24"/>
              </w:rPr>
            </w:pPr>
            <w:r>
              <w:rPr>
                <w:rFonts w:hint="eastAsia" w:ascii="等线" w:hAnsi="等线" w:eastAsia="等线"/>
                <w:sz w:val="24"/>
              </w:rPr>
              <w:t>完成方案设计并经甲方确认后7日内</w:t>
            </w:r>
          </w:p>
        </w:tc>
        <w:tc>
          <w:tcPr>
            <w:tcW w:w="1347" w:type="dxa"/>
            <w:vAlign w:val="center"/>
          </w:tcPr>
          <w:p>
            <w:pPr>
              <w:jc w:val="center"/>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585" w:type="dxa"/>
            <w:vAlign w:val="center"/>
          </w:tcPr>
          <w:p>
            <w:pPr>
              <w:spacing w:line="480" w:lineRule="exact"/>
              <w:jc w:val="center"/>
              <w:rPr>
                <w:rFonts w:ascii="等线" w:hAnsi="等线" w:eastAsia="等线"/>
                <w:sz w:val="24"/>
              </w:rPr>
            </w:pPr>
            <w:r>
              <w:rPr>
                <w:rFonts w:hint="eastAsia" w:ascii="等线" w:hAnsi="等线" w:eastAsia="等线"/>
                <w:sz w:val="24"/>
              </w:rPr>
              <w:t>第二次付费</w:t>
            </w:r>
          </w:p>
        </w:tc>
        <w:tc>
          <w:tcPr>
            <w:tcW w:w="1658" w:type="dxa"/>
          </w:tcPr>
          <w:p>
            <w:pPr>
              <w:spacing w:line="480" w:lineRule="exact"/>
              <w:jc w:val="center"/>
              <w:rPr>
                <w:rFonts w:ascii="等线" w:hAnsi="等线" w:eastAsia="等线"/>
                <w:sz w:val="24"/>
              </w:rPr>
            </w:pPr>
            <w:r>
              <w:rPr>
                <w:rFonts w:ascii="等线" w:hAnsi="等线" w:eastAsia="等线"/>
                <w:sz w:val="24"/>
              </w:rPr>
              <w:t>5</w:t>
            </w:r>
            <w:r>
              <w:rPr>
                <w:rFonts w:hint="eastAsia" w:ascii="等线" w:hAnsi="等线" w:eastAsia="等线"/>
                <w:sz w:val="24"/>
              </w:rPr>
              <w:t>0%</w:t>
            </w:r>
          </w:p>
        </w:tc>
        <w:tc>
          <w:tcPr>
            <w:tcW w:w="2827" w:type="dxa"/>
          </w:tcPr>
          <w:p>
            <w:pPr>
              <w:spacing w:line="480" w:lineRule="exact"/>
              <w:jc w:val="left"/>
              <w:rPr>
                <w:rFonts w:ascii="等线" w:hAnsi="等线" w:eastAsia="等线"/>
                <w:sz w:val="24"/>
              </w:rPr>
            </w:pPr>
            <w:r>
              <w:rPr>
                <w:rFonts w:hint="eastAsia" w:ascii="等线" w:hAnsi="等线" w:eastAsia="等线"/>
                <w:sz w:val="24"/>
              </w:rPr>
              <w:t>完成全部施工图设计经甲方确认，正式出图后7日内</w:t>
            </w:r>
          </w:p>
        </w:tc>
        <w:tc>
          <w:tcPr>
            <w:tcW w:w="1347" w:type="dxa"/>
          </w:tcPr>
          <w:p>
            <w:pPr>
              <w:rPr>
                <w:rFonts w:ascii="等线" w:hAnsi="等线" w:eastAsia="等线"/>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85" w:type="dxa"/>
            <w:vAlign w:val="center"/>
          </w:tcPr>
          <w:p>
            <w:pPr>
              <w:spacing w:line="480" w:lineRule="exact"/>
              <w:jc w:val="center"/>
              <w:rPr>
                <w:rFonts w:ascii="等线" w:hAnsi="等线" w:eastAsia="等线"/>
                <w:b/>
                <w:bCs/>
                <w:sz w:val="24"/>
              </w:rPr>
            </w:pPr>
            <w:r>
              <w:rPr>
                <w:rFonts w:hint="eastAsia" w:ascii="等线" w:hAnsi="等线" w:eastAsia="等线"/>
                <w:sz w:val="24"/>
              </w:rPr>
              <w:t>第三次付费</w:t>
            </w:r>
          </w:p>
        </w:tc>
        <w:tc>
          <w:tcPr>
            <w:tcW w:w="1658" w:type="dxa"/>
          </w:tcPr>
          <w:p>
            <w:pPr>
              <w:spacing w:line="480" w:lineRule="exact"/>
              <w:jc w:val="center"/>
              <w:rPr>
                <w:rFonts w:ascii="等线" w:hAnsi="等线" w:eastAsia="等线"/>
                <w:sz w:val="24"/>
              </w:rPr>
            </w:pPr>
            <w:r>
              <w:rPr>
                <w:rFonts w:hint="eastAsia" w:ascii="等线" w:hAnsi="等线" w:eastAsia="等线"/>
                <w:sz w:val="24"/>
              </w:rPr>
              <w:t>20%</w:t>
            </w:r>
          </w:p>
        </w:tc>
        <w:tc>
          <w:tcPr>
            <w:tcW w:w="2827" w:type="dxa"/>
          </w:tcPr>
          <w:p>
            <w:pPr>
              <w:spacing w:line="480" w:lineRule="exact"/>
              <w:jc w:val="left"/>
              <w:rPr>
                <w:rFonts w:ascii="等线" w:hAnsi="等线" w:eastAsia="等线"/>
                <w:sz w:val="24"/>
              </w:rPr>
            </w:pPr>
            <w:r>
              <w:rPr>
                <w:rFonts w:hint="eastAsia" w:ascii="等线" w:hAnsi="等线" w:eastAsia="等线"/>
                <w:sz w:val="24"/>
              </w:rPr>
              <w:t>装饰项目竣工验收完成后7日内</w:t>
            </w:r>
          </w:p>
        </w:tc>
        <w:tc>
          <w:tcPr>
            <w:tcW w:w="1347" w:type="dxa"/>
          </w:tcPr>
          <w:p>
            <w:pPr>
              <w:spacing w:line="480" w:lineRule="exact"/>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85" w:type="dxa"/>
            <w:vAlign w:val="center"/>
          </w:tcPr>
          <w:p>
            <w:pPr>
              <w:spacing w:line="480" w:lineRule="exact"/>
              <w:jc w:val="center"/>
              <w:rPr>
                <w:rFonts w:ascii="等线" w:hAnsi="等线" w:eastAsia="等线"/>
                <w:sz w:val="24"/>
              </w:rPr>
            </w:pPr>
            <w:r>
              <w:rPr>
                <w:rFonts w:hint="eastAsia" w:ascii="等线" w:hAnsi="等线" w:eastAsia="等线"/>
                <w:sz w:val="24"/>
              </w:rPr>
              <w:t>第四次付费</w:t>
            </w:r>
          </w:p>
        </w:tc>
        <w:tc>
          <w:tcPr>
            <w:tcW w:w="1658" w:type="dxa"/>
          </w:tcPr>
          <w:p>
            <w:pPr>
              <w:spacing w:line="480" w:lineRule="exact"/>
              <w:jc w:val="center"/>
              <w:rPr>
                <w:rFonts w:ascii="等线" w:hAnsi="等线" w:eastAsia="等线"/>
                <w:sz w:val="24"/>
              </w:rPr>
            </w:pPr>
            <w:r>
              <w:rPr>
                <w:rFonts w:ascii="等线" w:hAnsi="等线" w:eastAsia="等线"/>
                <w:sz w:val="24"/>
              </w:rPr>
              <w:t>1</w:t>
            </w:r>
            <w:r>
              <w:rPr>
                <w:rFonts w:hint="eastAsia" w:ascii="等线" w:hAnsi="等线" w:eastAsia="等线"/>
                <w:sz w:val="24"/>
              </w:rPr>
              <w:t>0%</w:t>
            </w:r>
          </w:p>
        </w:tc>
        <w:tc>
          <w:tcPr>
            <w:tcW w:w="2827" w:type="dxa"/>
          </w:tcPr>
          <w:p>
            <w:pPr>
              <w:spacing w:line="480" w:lineRule="exact"/>
              <w:jc w:val="left"/>
              <w:rPr>
                <w:rFonts w:ascii="等线" w:hAnsi="等线" w:eastAsia="等线"/>
                <w:sz w:val="24"/>
              </w:rPr>
            </w:pPr>
            <w:r>
              <w:rPr>
                <w:rFonts w:hint="eastAsia" w:ascii="等线" w:hAnsi="等线" w:eastAsia="等线"/>
                <w:sz w:val="24"/>
              </w:rPr>
              <w:t>竣工图审核完成7日内</w:t>
            </w:r>
          </w:p>
        </w:tc>
        <w:tc>
          <w:tcPr>
            <w:tcW w:w="1347" w:type="dxa"/>
          </w:tcPr>
          <w:p>
            <w:pPr>
              <w:spacing w:line="480" w:lineRule="exact"/>
              <w:rPr>
                <w:rFonts w:ascii="等线" w:hAnsi="等线" w:eastAsia="等线"/>
                <w:sz w:val="24"/>
              </w:rPr>
            </w:pPr>
          </w:p>
        </w:tc>
      </w:tr>
    </w:tbl>
    <w:p>
      <w:pPr>
        <w:numPr>
          <w:ilvl w:val="1"/>
          <w:numId w:val="11"/>
        </w:numPr>
        <w:spacing w:line="360" w:lineRule="auto"/>
        <w:jc w:val="left"/>
        <w:rPr>
          <w:rFonts w:ascii="宋体" w:hAnsi="宋体" w:eastAsia="宋体"/>
          <w:kern w:val="0"/>
          <w:sz w:val="24"/>
        </w:rPr>
      </w:pPr>
      <w:r>
        <w:rPr>
          <w:rFonts w:ascii="宋体" w:hAnsi="宋体" w:eastAsia="宋体"/>
          <w:kern w:val="0"/>
          <w:sz w:val="24"/>
        </w:rPr>
        <w:t>付款要求</w:t>
      </w:r>
    </w:p>
    <w:p>
      <w:pPr>
        <w:numPr>
          <w:ilvl w:val="2"/>
          <w:numId w:val="11"/>
        </w:numPr>
        <w:spacing w:line="360" w:lineRule="auto"/>
        <w:ind w:left="889" w:hanging="889"/>
        <w:jc w:val="left"/>
        <w:rPr>
          <w:rFonts w:ascii="宋体" w:hAnsi="宋体" w:eastAsia="宋体"/>
          <w:kern w:val="0"/>
          <w:sz w:val="24"/>
        </w:rPr>
      </w:pPr>
      <w:r>
        <w:rPr>
          <w:rFonts w:hint="eastAsia" w:ascii="宋体" w:hAnsi="宋体" w:eastAsia="宋体"/>
          <w:kern w:val="0"/>
          <w:sz w:val="24"/>
        </w:rPr>
        <w:t>甲方向乙方支付设计费用前，乙方需向甲方提供等额合法有效增值税专用发票，否则甲方有权拒绝付款，直到乙方提供合格发票后再支付。同时，乙方保证所提供发票的真实性，一经发现假发票，除补真票外，并向甲方支付等同于发票金额二倍的违约金，如因提供虚假发票造成甲方损失的，甲方将有权向乙方追索损失。若乙方开具前一阶段发票后甲方未付相应款项，乙方有权拒开下一阶段的发票，由甲方付清款项后再开票。</w:t>
      </w:r>
    </w:p>
    <w:p>
      <w:pPr>
        <w:numPr>
          <w:ilvl w:val="2"/>
          <w:numId w:val="11"/>
        </w:numPr>
        <w:spacing w:line="360" w:lineRule="auto"/>
        <w:ind w:left="889" w:hanging="889"/>
        <w:jc w:val="left"/>
        <w:rPr>
          <w:rFonts w:ascii="宋体" w:hAnsi="宋体" w:eastAsia="宋体"/>
          <w:kern w:val="0"/>
          <w:sz w:val="24"/>
        </w:rPr>
      </w:pPr>
      <w:r>
        <w:rPr>
          <w:rFonts w:hint="eastAsia" w:ascii="宋体" w:hAnsi="宋体" w:eastAsia="宋体"/>
          <w:kern w:val="0"/>
          <w:sz w:val="24"/>
        </w:rPr>
        <w:t>甲方为增值税一般纳税人，请乙方按照以下相关信息提供增值税专用发票：</w:t>
      </w:r>
    </w:p>
    <w:tbl>
      <w:tblPr>
        <w:tblStyle w:val="9"/>
        <w:tblW w:w="7940" w:type="dxa"/>
        <w:jc w:val="center"/>
        <w:tblLayout w:type="fixed"/>
        <w:tblCellMar>
          <w:top w:w="0" w:type="dxa"/>
          <w:left w:w="108" w:type="dxa"/>
          <w:bottom w:w="0" w:type="dxa"/>
          <w:right w:w="108" w:type="dxa"/>
        </w:tblCellMar>
      </w:tblPr>
      <w:tblGrid>
        <w:gridCol w:w="2500"/>
        <w:gridCol w:w="5440"/>
      </w:tblGrid>
      <w:tr>
        <w:tblPrEx>
          <w:tblCellMar>
            <w:top w:w="0" w:type="dxa"/>
            <w:left w:w="108" w:type="dxa"/>
            <w:bottom w:w="0" w:type="dxa"/>
            <w:right w:w="108" w:type="dxa"/>
          </w:tblCellMar>
        </w:tblPrEx>
        <w:trPr>
          <w:trHeight w:val="517" w:hRule="atLeast"/>
          <w:jc w:val="center"/>
        </w:trPr>
        <w:tc>
          <w:tcPr>
            <w:tcW w:w="25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开票单位名称</w:t>
            </w:r>
          </w:p>
        </w:tc>
        <w:tc>
          <w:tcPr>
            <w:tcW w:w="5440"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深圳市中天实业有限公司</w:t>
            </w:r>
          </w:p>
        </w:tc>
      </w:tr>
      <w:tr>
        <w:tblPrEx>
          <w:tblCellMar>
            <w:top w:w="0" w:type="dxa"/>
            <w:left w:w="108" w:type="dxa"/>
            <w:bottom w:w="0" w:type="dxa"/>
            <w:right w:w="108" w:type="dxa"/>
          </w:tblCellMar>
        </w:tblPrEx>
        <w:trPr>
          <w:trHeight w:val="469"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纳税人识别号</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392"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地址</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72"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电话</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58"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开户行</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22"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银行账户</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14"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开票类型</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增值税专用发票</w:t>
            </w:r>
          </w:p>
        </w:tc>
      </w:tr>
    </w:tbl>
    <w:p>
      <w:pPr>
        <w:spacing w:line="400" w:lineRule="exact"/>
        <w:rPr>
          <w:rFonts w:ascii="宋体" w:hAnsi="宋体" w:eastAsia="宋体"/>
          <w:sz w:val="24"/>
        </w:rPr>
      </w:pPr>
    </w:p>
    <w:p>
      <w:pPr>
        <w:numPr>
          <w:ilvl w:val="0"/>
          <w:numId w:val="5"/>
        </w:numPr>
        <w:spacing w:line="520" w:lineRule="exact"/>
        <w:rPr>
          <w:rFonts w:ascii="宋体" w:hAnsi="宋体" w:eastAsia="宋体"/>
          <w:b/>
          <w:bCs/>
          <w:sz w:val="24"/>
        </w:rPr>
      </w:pPr>
      <w:bookmarkStart w:id="6" w:name="_Toc19280_WPSOffice_Level2"/>
      <w:r>
        <w:rPr>
          <w:rFonts w:hint="eastAsia" w:ascii="宋体" w:hAnsi="宋体" w:eastAsia="宋体"/>
          <w:b/>
          <w:bCs/>
          <w:sz w:val="24"/>
        </w:rPr>
        <w:t>双方责任</w:t>
      </w:r>
      <w:bookmarkEnd w:id="6"/>
    </w:p>
    <w:p>
      <w:pPr>
        <w:numPr>
          <w:ilvl w:val="1"/>
          <w:numId w:val="13"/>
        </w:numPr>
        <w:spacing w:line="360" w:lineRule="auto"/>
        <w:jc w:val="left"/>
        <w:rPr>
          <w:rFonts w:ascii="宋体" w:hAnsi="宋体" w:eastAsia="宋体"/>
          <w:kern w:val="0"/>
          <w:sz w:val="24"/>
        </w:rPr>
      </w:pPr>
      <w:r>
        <w:rPr>
          <w:rFonts w:hint="eastAsia" w:ascii="宋体" w:hAnsi="宋体" w:eastAsia="宋体"/>
          <w:kern w:val="0"/>
          <w:sz w:val="24"/>
        </w:rPr>
        <w:t>甲方责任</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甲方按本合同第三条规定的内容，在规定的时间内向乙方提交资料及文件，并对提供的资料及文件的完整性、正确性负责。</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甲方逾期提交上述资料及文件，乙方按合同第四条规定交付设计文件的时间相应顺延。</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变更委托设计项目、规模、条件或因提交的资料错误，或所提交资料作较大修改，以致乙方的设计需返工时，双方除需另行协商签订补充协议（或另订合同）、重新明确有关条款外，甲方应按乙方所耗工作量向乙方增付设计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乙方为本项目所完成的设计方案、文件、资料图纸、数据等的知识产权（署名权除外）均属甲方所有，甲方有权自由使用，处置设计方案，设计成果，乙方予以同意。</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对于乙方提出的且确需甲方作出答复或指令的事项，甲方应在合理时间内及时作出。</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甲方所有的设计要求及修改意见，均应及时以书面形式通知乙方。若甲方在收到相关成果后超过30天未提出修改意见，则视为该成果符合双方约定。</w:t>
      </w:r>
    </w:p>
    <w:p>
      <w:pPr>
        <w:numPr>
          <w:ilvl w:val="2"/>
          <w:numId w:val="13"/>
        </w:numPr>
        <w:spacing w:line="480" w:lineRule="auto"/>
        <w:ind w:left="889" w:hanging="889"/>
        <w:jc w:val="left"/>
        <w:rPr>
          <w:rFonts w:ascii="宋体" w:hAnsi="宋体" w:eastAsia="宋体"/>
          <w:sz w:val="24"/>
        </w:rPr>
      </w:pPr>
      <w:r>
        <w:rPr>
          <w:rFonts w:hint="eastAsia" w:ascii="宋体" w:hAnsi="宋体" w:eastAsia="宋体"/>
          <w:kern w:val="0"/>
          <w:sz w:val="24"/>
        </w:rPr>
        <w:t>乙方在收到甲方书面的确认</w:t>
      </w:r>
      <w:r>
        <w:rPr>
          <w:rFonts w:hint="eastAsia" w:ascii="宋体" w:hAnsi="宋体" w:eastAsia="宋体"/>
          <w:sz w:val="24"/>
        </w:rPr>
        <w:t>或指示后开始下一阶段工作。</w:t>
      </w:r>
    </w:p>
    <w:p>
      <w:pPr>
        <w:numPr>
          <w:ilvl w:val="1"/>
          <w:numId w:val="13"/>
        </w:numPr>
        <w:spacing w:line="360" w:lineRule="auto"/>
        <w:jc w:val="left"/>
        <w:rPr>
          <w:rFonts w:ascii="宋体" w:hAnsi="宋体" w:eastAsia="宋体"/>
          <w:kern w:val="0"/>
          <w:sz w:val="24"/>
        </w:rPr>
      </w:pPr>
      <w:r>
        <w:rPr>
          <w:rFonts w:hint="eastAsia" w:ascii="宋体" w:hAnsi="宋体" w:eastAsia="宋体"/>
          <w:kern w:val="0"/>
          <w:sz w:val="24"/>
        </w:rPr>
        <w:t>乙方责任</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乙方应严格按照国家和地方技术规范、标准、规程及甲方提出的设计要求，进行工程设计，按合同规定的进度要求提交质量合格的设计资料，并对其负责。</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乙方采用的主要技术标准是：国家以及广东省、深圳市的有关标准和规范（标准不一致的，以更严格者为准）。设计合理使用年限为国家规定的设计年限。</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乙方按本合同第二条和第四条规定的内容、进度及份数向甲方交付资料及文件。</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交付设计资料及文件后，按规定参加有关的设计审查，并根据审查结论负责作必要调整补充。乙方按合同规定期限交付设计资料及文件，负责向甲方及施工单位进行设计交底、处理有关设计问题和参加竣工验收。</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保护甲方的知识产权，不得向第三人泄露、转让甲方提交的产品图纸等技术经济资料。如发生以上情况并给甲方造成经济损失，甲方有权向乙方索赔，甲方有权就该索赔金额直接从设计费中扣除。乙方享有在参与评奖、著述专业论文、展会宣传、著书宣传时使用该设计成果的权利，但仅限于设计成果展示的目的，且不能侵害甲方的利益。</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甲方或政府有关部门组织的会议要求乙方参加的，由甲方至少提前一个工作日通知乙方，乙方派相关人员准时参加，紧急情况下，乙方应全力配合甲方。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施工现场的检查、验收由甲方至少提前一个工作日通知乙方，乙方派相关人员准时参加。特殊情况（如重大隐患需紧急处理等），乙方应全力配合甲方。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对于本合同约定的服务范围内的合理设计变更出图与相关设计问题的处理，根据变更或设计问题的实际情况由双方商定处理时间。</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乙方提交的设计成果的知识产权（署名权除外）归甲方所有。甲方应尊重乙方的设计工作，在对本项目进行对外宣传过程中，如有对设计成果进行展示的，甲方应注明乙方。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乙方可按甲方要求而提供附加服务，其费用另议。包括:</w:t>
      </w:r>
    </w:p>
    <w:p>
      <w:pPr>
        <w:numPr>
          <w:ilvl w:val="0"/>
          <w:numId w:val="14"/>
        </w:numPr>
        <w:snapToGrid w:val="0"/>
        <w:spacing w:line="360" w:lineRule="auto"/>
        <w:ind w:left="905" w:hanging="605"/>
        <w:jc w:val="left"/>
        <w:rPr>
          <w:rFonts w:ascii="宋体" w:hAnsi="宋体" w:eastAsia="宋体"/>
          <w:snapToGrid w:val="0"/>
          <w:sz w:val="24"/>
        </w:rPr>
      </w:pPr>
      <w:r>
        <w:rPr>
          <w:rFonts w:hint="eastAsia" w:ascii="宋体" w:hAnsi="宋体" w:eastAsia="宋体"/>
          <w:snapToGrid w:val="0"/>
          <w:sz w:val="24"/>
        </w:rPr>
        <w:t>本合同约定外或甲方要求的额外工作。</w:t>
      </w:r>
    </w:p>
    <w:p>
      <w:pPr>
        <w:numPr>
          <w:ilvl w:val="0"/>
          <w:numId w:val="14"/>
        </w:numPr>
        <w:snapToGrid w:val="0"/>
        <w:spacing w:line="360" w:lineRule="auto"/>
        <w:ind w:left="905" w:hanging="605"/>
        <w:jc w:val="left"/>
        <w:rPr>
          <w:rFonts w:ascii="宋体" w:hAnsi="宋体" w:eastAsia="宋体"/>
          <w:snapToGrid w:val="0"/>
          <w:sz w:val="24"/>
        </w:rPr>
      </w:pPr>
      <w:r>
        <w:rPr>
          <w:rFonts w:hint="eastAsia" w:ascii="宋体" w:hAnsi="宋体" w:eastAsia="宋体"/>
          <w:snapToGrid w:val="0"/>
          <w:sz w:val="24"/>
        </w:rPr>
        <w:t>在原设计经甲方或政府确认或批准后，要求乙方对原设计进行重大设计修改。</w:t>
      </w:r>
    </w:p>
    <w:p>
      <w:pPr>
        <w:numPr>
          <w:ilvl w:val="0"/>
          <w:numId w:val="14"/>
        </w:numPr>
        <w:snapToGrid w:val="0"/>
        <w:spacing w:line="360" w:lineRule="auto"/>
        <w:ind w:left="905" w:hanging="605"/>
        <w:jc w:val="left"/>
        <w:rPr>
          <w:rFonts w:ascii="宋体" w:hAnsi="宋体" w:eastAsia="宋体"/>
          <w:snapToGrid w:val="0"/>
          <w:sz w:val="24"/>
        </w:rPr>
      </w:pPr>
      <w:r>
        <w:rPr>
          <w:rFonts w:hint="eastAsia" w:ascii="宋体" w:hAnsi="宋体" w:eastAsia="宋体"/>
          <w:snapToGrid w:val="0"/>
          <w:sz w:val="24"/>
        </w:rPr>
        <w:t>因为甲方另聘的顾问的错误而引致的重大设计修改。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乙方在明确取得甲方的书面确认或指示后才能进入下一阶段的工作。对甲方已经确认的设计，如因技术或安全理由必须修改时，应事先书面知会甲方并获甲方书面许可。</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乙方须在收到甲方提交的设计基础资料及文件后3个工作日内确认其是否达到工程设计要求，若乙方在规定的时间内不提出问题，即视为满足乙方进行工程设计的要求。</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在工程施工期间，根据工程需要，乙方应指派现场设计代表及时解决施工过程中有关的设计问题，相关费用已经包含在合同价款内。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乙方应配合甲方提供施工和设备采购招标文件中有关的技术标准和规范及招标过程中答疑文件解答及评标过程中对投标文件提供综合性评价意见，相关费用已经包含在合同价款内。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乙方应按照甲方项目开发计划，做好与甲方另行委托的专业设计单位的协调、配合、审核确认等工作，以督促工程的整体设计质量和进度满足甲方要求，相关费用已经包含在合同价款内。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乙方应严格按照甲方提供的目标成本进行设计，甲方根据乙方提供的施工图编制的预算超出的，乙方应无条件进行调整，相关费用已经包含在合同价款内。</w:t>
      </w:r>
    </w:p>
    <w:p>
      <w:pPr>
        <w:spacing w:line="520" w:lineRule="exact"/>
        <w:rPr>
          <w:rFonts w:ascii="宋体" w:hAnsi="宋体" w:eastAsia="宋体"/>
          <w:sz w:val="24"/>
        </w:rPr>
      </w:pPr>
    </w:p>
    <w:p>
      <w:pPr>
        <w:numPr>
          <w:ilvl w:val="0"/>
          <w:numId w:val="5"/>
        </w:numPr>
        <w:spacing w:line="520" w:lineRule="exact"/>
        <w:rPr>
          <w:rFonts w:ascii="宋体" w:hAnsi="宋体" w:eastAsia="宋体"/>
          <w:b/>
          <w:bCs/>
          <w:sz w:val="24"/>
        </w:rPr>
      </w:pPr>
      <w:bookmarkStart w:id="7" w:name="_Toc22656_WPSOffice_Level2"/>
      <w:r>
        <w:rPr>
          <w:rFonts w:hint="eastAsia" w:ascii="宋体" w:hAnsi="宋体" w:eastAsia="宋体"/>
          <w:b/>
          <w:bCs/>
          <w:sz w:val="24"/>
        </w:rPr>
        <w:t>违约责任</w:t>
      </w:r>
      <w:bookmarkEnd w:id="7"/>
    </w:p>
    <w:p>
      <w:pPr>
        <w:numPr>
          <w:ilvl w:val="1"/>
          <w:numId w:val="15"/>
        </w:numPr>
        <w:spacing w:line="520" w:lineRule="exact"/>
        <w:rPr>
          <w:rFonts w:ascii="宋体" w:hAnsi="宋体" w:eastAsia="宋体"/>
          <w:sz w:val="24"/>
        </w:rPr>
      </w:pPr>
      <w:r>
        <w:rPr>
          <w:rFonts w:hint="eastAsia" w:ascii="宋体" w:hAnsi="宋体" w:eastAsia="宋体"/>
          <w:sz w:val="24"/>
        </w:rPr>
        <w:t>在合同履行期间，甲方由于自身原因要求终止或解除合同，乙方未开始设计工作的，甲方有权解除且不支付任何设计费用；若乙方已开始设计工作的，双方根据乙方完成的工作量协商后适当支付设计费。甲方要求终止或解除合同不需承担任何违约责任。未经甲方书面同意，乙方不得擅自要求终止或解除合同，否则乙方应向甲方支付合同总金额3</w:t>
      </w:r>
      <w:r>
        <w:rPr>
          <w:rFonts w:ascii="宋体" w:hAnsi="宋体" w:eastAsia="宋体"/>
          <w:sz w:val="24"/>
        </w:rPr>
        <w:t>0%</w:t>
      </w:r>
      <w:r>
        <w:rPr>
          <w:rFonts w:hint="eastAsia" w:ascii="宋体" w:hAnsi="宋体" w:eastAsia="宋体"/>
          <w:sz w:val="24"/>
        </w:rPr>
        <w:t>的违约金。</w:t>
      </w:r>
    </w:p>
    <w:p>
      <w:pPr>
        <w:numPr>
          <w:ilvl w:val="1"/>
          <w:numId w:val="15"/>
        </w:numPr>
        <w:spacing w:line="520" w:lineRule="exact"/>
        <w:rPr>
          <w:rFonts w:ascii="宋体" w:hAnsi="宋体" w:eastAsia="宋体"/>
          <w:sz w:val="24"/>
        </w:rPr>
      </w:pPr>
      <w:r>
        <w:rPr>
          <w:rFonts w:hint="eastAsia" w:ascii="宋体" w:hAnsi="宋体" w:eastAsia="宋体"/>
          <w:sz w:val="24"/>
        </w:rPr>
        <w:t>甲方应按本合同第五条规定的金额和时间向乙方支付设计费，每逾期一日，应承担应付设计费万分之五的逾期违约金，违约金累计不超过应付阶段设计费的10%。逾期超过30日以上时，乙方有权暂停履行下阶段工作直到甲方支付应付阶段的设计费，并书面通知甲方。如</w:t>
      </w:r>
      <w:r>
        <w:rPr>
          <w:rFonts w:ascii="宋体" w:hAnsi="宋体" w:eastAsia="宋体"/>
          <w:sz w:val="24"/>
        </w:rPr>
        <w:t>非乙方原因，</w:t>
      </w:r>
      <w:r>
        <w:rPr>
          <w:rFonts w:hint="eastAsia" w:ascii="宋体" w:hAnsi="宋体" w:eastAsia="宋体"/>
          <w:sz w:val="24"/>
        </w:rPr>
        <w:t>甲方的上级对设计文件不审批或本合同项目停缓建的，甲方均按乙方实际完成工作进度支付相应的设计费。</w:t>
      </w:r>
    </w:p>
    <w:p>
      <w:pPr>
        <w:numPr>
          <w:ilvl w:val="1"/>
          <w:numId w:val="15"/>
        </w:numPr>
        <w:spacing w:line="520" w:lineRule="exact"/>
        <w:rPr>
          <w:rFonts w:ascii="宋体" w:hAnsi="宋体" w:eastAsia="宋体"/>
          <w:sz w:val="24"/>
        </w:rPr>
      </w:pPr>
      <w:r>
        <w:rPr>
          <w:rFonts w:hint="eastAsia" w:ascii="宋体" w:hAnsi="宋体" w:eastAsia="宋体"/>
          <w:sz w:val="24"/>
        </w:rPr>
        <w:t>乙方对设计成果资料及文件出现的遗漏或错误负责修改或补充。由于乙方人员错误造成工期延误、工程质量问题、成本增加等，乙方除负责采取补救措施外，应赔偿甲方所受到的全部损失。赔偿金额甲方有权从相应</w:t>
      </w:r>
      <w:r>
        <w:rPr>
          <w:rFonts w:ascii="宋体" w:hAnsi="宋体" w:eastAsia="宋体"/>
          <w:sz w:val="24"/>
        </w:rPr>
        <w:t>阶段</w:t>
      </w:r>
      <w:r>
        <w:rPr>
          <w:rFonts w:hint="eastAsia" w:ascii="宋体" w:hAnsi="宋体" w:eastAsia="宋体"/>
          <w:sz w:val="24"/>
        </w:rPr>
        <w:t>设计费中予以直接扣除。</w:t>
      </w:r>
    </w:p>
    <w:p>
      <w:pPr>
        <w:numPr>
          <w:ilvl w:val="1"/>
          <w:numId w:val="15"/>
        </w:numPr>
        <w:spacing w:line="520" w:lineRule="exact"/>
        <w:rPr>
          <w:rFonts w:ascii="宋体" w:hAnsi="宋体" w:eastAsia="宋体"/>
          <w:sz w:val="24"/>
        </w:rPr>
      </w:pPr>
      <w:r>
        <w:rPr>
          <w:rFonts w:hint="eastAsia" w:ascii="宋体" w:hAnsi="宋体" w:eastAsia="宋体"/>
          <w:sz w:val="24"/>
        </w:rPr>
        <w:t>下列损失乙方不负责赔偿：</w:t>
      </w:r>
    </w:p>
    <w:p>
      <w:pPr>
        <w:numPr>
          <w:ilvl w:val="2"/>
          <w:numId w:val="15"/>
        </w:numPr>
        <w:spacing w:line="520" w:lineRule="exact"/>
        <w:ind w:left="889" w:hanging="889"/>
        <w:rPr>
          <w:rFonts w:ascii="宋体" w:hAnsi="宋体" w:eastAsia="宋体"/>
          <w:sz w:val="24"/>
        </w:rPr>
      </w:pPr>
      <w:r>
        <w:rPr>
          <w:rFonts w:hint="eastAsia" w:ascii="宋体" w:hAnsi="宋体" w:eastAsia="宋体"/>
          <w:sz w:val="24"/>
        </w:rPr>
        <w:t>乙方由于甲方提供的工程测量图、地址勘察等资料存在错误而引发的损失。</w:t>
      </w:r>
    </w:p>
    <w:p>
      <w:pPr>
        <w:numPr>
          <w:ilvl w:val="1"/>
          <w:numId w:val="15"/>
        </w:numPr>
        <w:spacing w:line="520" w:lineRule="exact"/>
        <w:rPr>
          <w:rFonts w:ascii="宋体" w:hAnsi="宋体" w:eastAsia="宋体"/>
          <w:sz w:val="24"/>
        </w:rPr>
      </w:pPr>
      <w:r>
        <w:rPr>
          <w:rFonts w:hint="eastAsia" w:ascii="宋体" w:hAnsi="宋体" w:eastAsia="宋体"/>
          <w:sz w:val="24"/>
        </w:rPr>
        <w:t>乙方逾期完成工作进度的（经甲方审查不合格的视为逾期），每延误一日，按该阶段设计费的</w:t>
      </w:r>
      <w:r>
        <w:rPr>
          <w:rFonts w:ascii="宋体" w:hAnsi="宋体" w:eastAsia="宋体"/>
          <w:sz w:val="24"/>
        </w:rPr>
        <w:t>0.5</w:t>
      </w:r>
      <w:r>
        <w:rPr>
          <w:rFonts w:hint="eastAsia" w:ascii="宋体" w:hAnsi="宋体" w:eastAsia="宋体"/>
          <w:sz w:val="24"/>
        </w:rPr>
        <w:t>%支付违约金，如超过</w:t>
      </w:r>
      <w:r>
        <w:rPr>
          <w:rFonts w:ascii="宋体" w:hAnsi="宋体" w:eastAsia="宋体"/>
          <w:sz w:val="24"/>
        </w:rPr>
        <w:t>2</w:t>
      </w:r>
      <w:r>
        <w:rPr>
          <w:rFonts w:hint="eastAsia" w:ascii="宋体" w:hAnsi="宋体" w:eastAsia="宋体"/>
          <w:sz w:val="24"/>
        </w:rPr>
        <w:t>0日，甲方有权终止合同，并要求乙方支付合同总金额30%的违约金，违约金不足以弥补甲方损失的，乙方应补足。</w:t>
      </w:r>
    </w:p>
    <w:p>
      <w:pPr>
        <w:numPr>
          <w:ilvl w:val="1"/>
          <w:numId w:val="15"/>
        </w:numPr>
        <w:spacing w:line="520" w:lineRule="exact"/>
        <w:rPr>
          <w:rFonts w:ascii="宋体" w:hAnsi="宋体" w:eastAsia="宋体"/>
          <w:sz w:val="24"/>
        </w:rPr>
      </w:pPr>
      <w:r>
        <w:rPr>
          <w:rFonts w:hint="eastAsia" w:ascii="宋体" w:hAnsi="宋体" w:eastAsia="宋体"/>
          <w:sz w:val="24"/>
        </w:rPr>
        <w:t>双方均有责任对本合同设计费负有保密义务，任何一方如有泄漏行为，均须向对方承担违约责任。</w:t>
      </w:r>
    </w:p>
    <w:p>
      <w:pPr>
        <w:numPr>
          <w:ilvl w:val="1"/>
          <w:numId w:val="15"/>
        </w:numPr>
        <w:spacing w:line="520" w:lineRule="exact"/>
        <w:rPr>
          <w:rFonts w:ascii="宋体" w:hAnsi="宋体" w:eastAsia="宋体"/>
          <w:sz w:val="24"/>
        </w:rPr>
      </w:pPr>
      <w:r>
        <w:rPr>
          <w:rFonts w:hint="eastAsia" w:ascii="宋体" w:hAnsi="宋体" w:eastAsia="宋体"/>
          <w:sz w:val="24"/>
        </w:rPr>
        <w:t>设计未按甲方要求提供现场服务或现场服务不到位，或乙方有其他违约行为的，应及时采取补救措施，同时甲方有权视影响情况轻重决定每次收取最高10000元的违约金。</w:t>
      </w:r>
    </w:p>
    <w:p>
      <w:pPr>
        <w:numPr>
          <w:ilvl w:val="1"/>
          <w:numId w:val="15"/>
        </w:numPr>
        <w:spacing w:line="520" w:lineRule="exact"/>
        <w:rPr>
          <w:rFonts w:ascii="宋体" w:hAnsi="宋体" w:eastAsia="宋体"/>
          <w:sz w:val="24"/>
        </w:rPr>
      </w:pPr>
      <w:r>
        <w:rPr>
          <w:rFonts w:hint="eastAsia" w:ascii="宋体" w:hAnsi="宋体" w:eastAsia="宋体"/>
          <w:sz w:val="24"/>
        </w:rPr>
        <w:t>本合同履行过程中，乙方应保证不侵犯任何第三方的知识产权或其他合法权益，如果甲方因乙方在设计过程中侵犯他人知识产权或其他权益而索赔，诉讼或受到其他损失，乙方要承担相应法律责任，赔偿给甲方造成的全部损失并承担由此而产生的全部费用。</w:t>
      </w:r>
    </w:p>
    <w:p>
      <w:pPr>
        <w:numPr>
          <w:ilvl w:val="1"/>
          <w:numId w:val="15"/>
        </w:numPr>
        <w:spacing w:line="520" w:lineRule="exact"/>
        <w:rPr>
          <w:rFonts w:ascii="宋体" w:hAnsi="宋体" w:eastAsia="宋体"/>
          <w:sz w:val="24"/>
        </w:rPr>
      </w:pPr>
      <w:r>
        <w:rPr>
          <w:rFonts w:hint="eastAsia" w:ascii="宋体" w:hAnsi="宋体" w:eastAsia="宋体"/>
          <w:sz w:val="24"/>
        </w:rPr>
        <w:t>守约方为维护权益向违约方追偿所发生的一切费用（包括但不限于律师费、诉讼费、仲裁费、保全费、担保费、交通费、差旅费、鉴定费等等）均由违约方承担。律师费收费依据届时广东省或深圳市有效的律师服务指导价的规定，按争议标的额的比例计算。</w:t>
      </w:r>
    </w:p>
    <w:p>
      <w:pPr>
        <w:pStyle w:val="4"/>
        <w:ind w:firstLine="0"/>
      </w:pPr>
    </w:p>
    <w:p>
      <w:pPr>
        <w:numPr>
          <w:ilvl w:val="0"/>
          <w:numId w:val="5"/>
        </w:numPr>
        <w:spacing w:line="520" w:lineRule="exact"/>
        <w:rPr>
          <w:rFonts w:ascii="宋体" w:hAnsi="宋体" w:eastAsia="宋体"/>
          <w:b/>
          <w:bCs/>
          <w:sz w:val="24"/>
        </w:rPr>
      </w:pPr>
      <w:bookmarkStart w:id="8" w:name="_Toc17033_WPSOffice_Level2"/>
      <w:r>
        <w:rPr>
          <w:rFonts w:hint="eastAsia" w:ascii="宋体" w:hAnsi="宋体" w:eastAsia="宋体"/>
          <w:b/>
          <w:bCs/>
          <w:sz w:val="24"/>
        </w:rPr>
        <w:t>文件的送达与签发</w:t>
      </w:r>
      <w:bookmarkEnd w:id="8"/>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与乙方之间的各类通知、函件和资料等文件均应以书面形式作出（以磁盘、光盘、电子邮件等特殊形式提交时应附书面说明材料），可以当面提交并经本合同指定的收件人签收，也可通过邮寄和特快专递送达本合同指定的地址和收件人，经收件人接收即视为通知、文件或资料己送达。</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甲方指定的收件地址和收件人。</w:t>
      </w:r>
    </w:p>
    <w:p>
      <w:pPr>
        <w:spacing w:line="520" w:lineRule="exact"/>
        <w:ind w:left="602"/>
        <w:rPr>
          <w:rFonts w:ascii="宋体" w:hAnsi="宋体" w:eastAsia="宋体"/>
          <w:sz w:val="24"/>
        </w:rPr>
      </w:pPr>
      <w:r>
        <w:rPr>
          <w:rFonts w:hint="eastAsia" w:ascii="宋体" w:hAnsi="宋体" w:eastAsia="宋体"/>
          <w:sz w:val="24"/>
        </w:rPr>
        <w:t xml:space="preserve">单位名称： </w:t>
      </w:r>
    </w:p>
    <w:p>
      <w:pPr>
        <w:spacing w:line="520" w:lineRule="exact"/>
        <w:ind w:left="602"/>
        <w:rPr>
          <w:rFonts w:ascii="宋体" w:hAnsi="宋体" w:eastAsia="宋体"/>
          <w:sz w:val="24"/>
        </w:rPr>
      </w:pPr>
      <w:r>
        <w:rPr>
          <w:rFonts w:hint="eastAsia" w:ascii="宋体" w:hAnsi="宋体" w:eastAsia="宋体"/>
          <w:sz w:val="24"/>
        </w:rPr>
        <w:t xml:space="preserve">单位地址： </w:t>
      </w:r>
    </w:p>
    <w:p>
      <w:pPr>
        <w:spacing w:line="520" w:lineRule="exact"/>
        <w:ind w:left="602"/>
        <w:rPr>
          <w:rFonts w:ascii="宋体" w:hAnsi="宋体" w:eastAsia="宋体"/>
          <w:sz w:val="24"/>
        </w:rPr>
      </w:pPr>
      <w:r>
        <w:rPr>
          <w:rFonts w:hint="eastAsia" w:ascii="宋体" w:hAnsi="宋体" w:eastAsia="宋体"/>
          <w:sz w:val="24"/>
        </w:rPr>
        <w:t>邮政编码：</w:t>
      </w:r>
    </w:p>
    <w:p>
      <w:pPr>
        <w:spacing w:line="520" w:lineRule="exact"/>
        <w:ind w:left="602"/>
        <w:rPr>
          <w:rFonts w:ascii="宋体" w:hAnsi="宋体" w:eastAsia="宋体"/>
          <w:sz w:val="24"/>
        </w:rPr>
      </w:pPr>
      <w:r>
        <w:rPr>
          <w:rFonts w:hint="eastAsia" w:ascii="宋体" w:hAnsi="宋体" w:eastAsia="宋体"/>
          <w:sz w:val="24"/>
        </w:rPr>
        <w:t xml:space="preserve">收件人： </w:t>
      </w:r>
    </w:p>
    <w:p>
      <w:pPr>
        <w:spacing w:line="520" w:lineRule="exact"/>
        <w:ind w:left="602"/>
        <w:rPr>
          <w:rFonts w:ascii="宋体" w:hAnsi="宋体" w:eastAsia="宋体"/>
          <w:sz w:val="24"/>
        </w:rPr>
      </w:pPr>
      <w:r>
        <w:rPr>
          <w:rFonts w:hint="eastAsia" w:ascii="宋体" w:hAnsi="宋体" w:eastAsia="宋体"/>
          <w:sz w:val="24"/>
        </w:rPr>
        <w:t>电话：</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乙方指定的收件地址和收件人</w:t>
      </w:r>
    </w:p>
    <w:p>
      <w:pPr>
        <w:spacing w:line="520" w:lineRule="exact"/>
        <w:ind w:left="602"/>
        <w:rPr>
          <w:rFonts w:ascii="宋体" w:hAnsi="宋体" w:eastAsia="宋体"/>
          <w:sz w:val="24"/>
        </w:rPr>
      </w:pPr>
      <w:r>
        <w:rPr>
          <w:rFonts w:hint="eastAsia" w:ascii="宋体" w:hAnsi="宋体" w:eastAsia="宋体"/>
          <w:sz w:val="24"/>
        </w:rPr>
        <w:t xml:space="preserve">单位名称： </w:t>
      </w:r>
    </w:p>
    <w:p>
      <w:pPr>
        <w:spacing w:line="520" w:lineRule="exact"/>
        <w:ind w:left="602"/>
        <w:rPr>
          <w:rFonts w:ascii="宋体" w:hAnsi="宋体" w:eastAsia="宋体"/>
          <w:sz w:val="24"/>
        </w:rPr>
      </w:pPr>
      <w:r>
        <w:rPr>
          <w:rFonts w:hint="eastAsia" w:ascii="宋体" w:hAnsi="宋体" w:eastAsia="宋体"/>
          <w:sz w:val="24"/>
        </w:rPr>
        <w:t xml:space="preserve">单位地址： </w:t>
      </w:r>
    </w:p>
    <w:p>
      <w:pPr>
        <w:spacing w:line="520" w:lineRule="exact"/>
        <w:ind w:left="602"/>
        <w:rPr>
          <w:rFonts w:ascii="宋体" w:hAnsi="宋体" w:eastAsia="宋体"/>
          <w:sz w:val="24"/>
        </w:rPr>
      </w:pPr>
      <w:r>
        <w:rPr>
          <w:rFonts w:hint="eastAsia" w:ascii="宋体" w:hAnsi="宋体" w:eastAsia="宋体"/>
          <w:sz w:val="24"/>
        </w:rPr>
        <w:t xml:space="preserve">收件人： </w:t>
      </w:r>
    </w:p>
    <w:p>
      <w:pPr>
        <w:spacing w:line="520" w:lineRule="exact"/>
        <w:ind w:left="602"/>
        <w:rPr>
          <w:rFonts w:ascii="宋体" w:hAnsi="宋体" w:eastAsia="宋体"/>
          <w:sz w:val="24"/>
        </w:rPr>
      </w:pPr>
      <w:r>
        <w:rPr>
          <w:rFonts w:hint="eastAsia" w:ascii="宋体" w:hAnsi="宋体" w:eastAsia="宋体"/>
          <w:sz w:val="24"/>
        </w:rPr>
        <w:t>电话：</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任何一方指定的地址和收件人、电话的变更或拒绝接收造成文件不能实际送达，发送方的文件只要发至按照接收方最后指定的地址，该文件自交邮后第7日视为有效送达。</w:t>
      </w:r>
    </w:p>
    <w:p>
      <w:pPr>
        <w:numPr>
          <w:ilvl w:val="1"/>
          <w:numId w:val="16"/>
        </w:numPr>
        <w:tabs>
          <w:tab w:val="left" w:pos="780"/>
        </w:tabs>
        <w:spacing w:line="520" w:lineRule="exact"/>
        <w:ind w:left="602" w:hanging="602" w:hangingChars="251"/>
        <w:rPr>
          <w:rFonts w:ascii="宋体" w:hAnsi="宋体" w:eastAsia="宋体"/>
          <w:sz w:val="24"/>
        </w:rPr>
      </w:pPr>
      <w:r>
        <w:rPr>
          <w:rFonts w:hint="eastAsia" w:ascii="宋体" w:hAnsi="宋体" w:eastAsia="宋体"/>
          <w:sz w:val="24"/>
        </w:rPr>
        <w:t>上述地址适用于双方往来联系、书面文件送达及争议解决时法律文书送达。</w:t>
      </w:r>
    </w:p>
    <w:p>
      <w:pPr>
        <w:numPr>
          <w:ilvl w:val="1"/>
          <w:numId w:val="16"/>
        </w:numPr>
        <w:tabs>
          <w:tab w:val="left" w:pos="780"/>
        </w:tabs>
        <w:spacing w:line="520" w:lineRule="exact"/>
        <w:ind w:left="602" w:hanging="602" w:hangingChars="251"/>
        <w:rPr>
          <w:rFonts w:ascii="宋体" w:hAnsi="宋体" w:eastAsia="宋体"/>
          <w:sz w:val="24"/>
        </w:rPr>
      </w:pPr>
      <w:r>
        <w:rPr>
          <w:rFonts w:hint="eastAsia" w:ascii="宋体" w:hAnsi="宋体" w:eastAsia="宋体"/>
          <w:sz w:val="24"/>
        </w:rPr>
        <w:t>甲方和乙方以书面形式通过当面提交方式向对方发出的各类通知、文件和资料等文件必须经由本合同指定的收件人签收后方视为送达。</w:t>
      </w:r>
    </w:p>
    <w:p>
      <w:pPr>
        <w:numPr>
          <w:ilvl w:val="1"/>
          <w:numId w:val="16"/>
        </w:numPr>
        <w:tabs>
          <w:tab w:val="left" w:pos="780"/>
        </w:tabs>
        <w:spacing w:line="520" w:lineRule="exact"/>
        <w:ind w:left="602" w:hanging="602" w:hangingChars="251"/>
        <w:rPr>
          <w:rFonts w:ascii="宋体" w:hAnsi="宋体" w:eastAsia="宋体"/>
          <w:sz w:val="24"/>
        </w:rPr>
      </w:pPr>
    </w:p>
    <w:p>
      <w:pPr>
        <w:numPr>
          <w:ilvl w:val="0"/>
          <w:numId w:val="5"/>
        </w:numPr>
        <w:spacing w:line="520" w:lineRule="exact"/>
        <w:rPr>
          <w:rFonts w:ascii="宋体" w:hAnsi="宋体" w:eastAsia="宋体"/>
          <w:b/>
          <w:bCs/>
          <w:sz w:val="24"/>
        </w:rPr>
      </w:pPr>
      <w:r>
        <w:rPr>
          <w:rFonts w:hint="eastAsia" w:ascii="宋体" w:hAnsi="宋体" w:eastAsia="宋体"/>
          <w:b/>
          <w:bCs/>
          <w:sz w:val="24"/>
        </w:rPr>
        <w:t>法律适用和争议解决</w:t>
      </w:r>
    </w:p>
    <w:p>
      <w:pPr>
        <w:pStyle w:val="14"/>
        <w:numPr>
          <w:ilvl w:val="0"/>
          <w:numId w:val="16"/>
        </w:numPr>
        <w:spacing w:line="520" w:lineRule="exact"/>
        <w:ind w:firstLineChars="0"/>
        <w:rPr>
          <w:rFonts w:ascii="宋体" w:hAnsi="宋体"/>
          <w:vanish/>
          <w:sz w:val="24"/>
          <w:szCs w:val="30"/>
        </w:rPr>
      </w:pPr>
    </w:p>
    <w:p>
      <w:pPr>
        <w:numPr>
          <w:ilvl w:val="1"/>
          <w:numId w:val="16"/>
        </w:numPr>
        <w:spacing w:line="520" w:lineRule="exact"/>
        <w:rPr>
          <w:rFonts w:ascii="宋体" w:hAnsi="宋体" w:eastAsia="宋体"/>
          <w:sz w:val="24"/>
        </w:rPr>
      </w:pPr>
      <w:r>
        <w:rPr>
          <w:rFonts w:hint="eastAsia" w:ascii="宋体" w:hAnsi="宋体" w:eastAsia="宋体"/>
          <w:sz w:val="24"/>
        </w:rPr>
        <w:t>法律适用</w:t>
      </w:r>
    </w:p>
    <w:p>
      <w:pPr>
        <w:spacing w:line="520" w:lineRule="exact"/>
        <w:ind w:left="567"/>
        <w:rPr>
          <w:rFonts w:ascii="宋体" w:hAnsi="宋体" w:eastAsia="宋体"/>
          <w:sz w:val="24"/>
        </w:rPr>
      </w:pPr>
      <w:r>
        <w:rPr>
          <w:rFonts w:hint="eastAsia" w:ascii="宋体" w:hAnsi="宋体" w:eastAsia="宋体"/>
          <w:sz w:val="24"/>
        </w:rPr>
        <w:t>本合同适用中华人民共和国有关法律。</w:t>
      </w:r>
    </w:p>
    <w:p>
      <w:pPr>
        <w:numPr>
          <w:ilvl w:val="1"/>
          <w:numId w:val="16"/>
        </w:numPr>
        <w:spacing w:line="520" w:lineRule="exact"/>
        <w:rPr>
          <w:rFonts w:ascii="宋体" w:hAnsi="宋体" w:eastAsia="宋体"/>
          <w:sz w:val="24"/>
        </w:rPr>
      </w:pPr>
      <w:r>
        <w:rPr>
          <w:rFonts w:hint="eastAsia" w:ascii="宋体" w:hAnsi="宋体" w:eastAsia="宋体"/>
          <w:sz w:val="24"/>
        </w:rPr>
        <w:t>争议解决</w:t>
      </w:r>
    </w:p>
    <w:p>
      <w:pPr>
        <w:spacing w:line="520" w:lineRule="exact"/>
        <w:ind w:left="567"/>
        <w:rPr>
          <w:rFonts w:ascii="宋体" w:hAnsi="宋体" w:eastAsia="宋体"/>
          <w:sz w:val="24"/>
        </w:rPr>
      </w:pPr>
      <w:r>
        <w:rPr>
          <w:rFonts w:hint="eastAsia" w:ascii="宋体" w:hAnsi="宋体" w:eastAsia="宋体"/>
          <w:sz w:val="24"/>
        </w:rPr>
        <w:t>本合同履行中若发生争议，双方应友好协商解决；协商不成时，可依法向甲方所在地有管辖权的人民法院提起诉讼。</w:t>
      </w:r>
    </w:p>
    <w:p>
      <w:pPr>
        <w:numPr>
          <w:ilvl w:val="0"/>
          <w:numId w:val="5"/>
        </w:numPr>
        <w:spacing w:line="520" w:lineRule="exact"/>
        <w:rPr>
          <w:rFonts w:ascii="宋体" w:hAnsi="宋体" w:eastAsia="宋体"/>
          <w:b/>
          <w:bCs/>
          <w:sz w:val="24"/>
        </w:rPr>
      </w:pPr>
      <w:r>
        <w:rPr>
          <w:rFonts w:hint="eastAsia" w:ascii="宋体" w:hAnsi="宋体" w:eastAsia="宋体"/>
          <w:b/>
          <w:bCs/>
          <w:sz w:val="24"/>
        </w:rPr>
        <w:t>其他</w:t>
      </w:r>
    </w:p>
    <w:p>
      <w:pPr>
        <w:pStyle w:val="14"/>
        <w:numPr>
          <w:ilvl w:val="0"/>
          <w:numId w:val="16"/>
        </w:numPr>
        <w:spacing w:line="520" w:lineRule="exact"/>
        <w:ind w:firstLineChars="0"/>
        <w:rPr>
          <w:rFonts w:ascii="宋体" w:hAnsi="宋体"/>
          <w:vanish/>
          <w:sz w:val="24"/>
          <w:szCs w:val="30"/>
        </w:rPr>
      </w:pPr>
    </w:p>
    <w:p>
      <w:pPr>
        <w:numPr>
          <w:ilvl w:val="1"/>
          <w:numId w:val="16"/>
        </w:numPr>
        <w:spacing w:line="520" w:lineRule="exact"/>
        <w:rPr>
          <w:rFonts w:ascii="宋体" w:hAnsi="宋体" w:eastAsia="宋体"/>
          <w:sz w:val="24"/>
        </w:rPr>
      </w:pPr>
      <w:r>
        <w:rPr>
          <w:rFonts w:hint="eastAsia" w:ascii="宋体" w:hAnsi="宋体" w:eastAsia="宋体"/>
          <w:sz w:val="24"/>
        </w:rPr>
        <w:t>乙方为本合同项目所采用的国家或地方标准图，由乙方自费向有关出版部门购买。根据甲方要求，本合同第四条规定乙方交付的设计资料及文件份数超过《工程设计收费标准》规定的份数，乙方另收工本费。</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本工程设计资料及文件中，建筑材料、建筑构配件和设备，应当注明其规格、型号、性能等技术指标，乙方不得指定生产厂、供应商。</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合同双方在履行本合同过程中及本合同终止后，相互承担保密义务。</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由于不可抗力因素致使合同无法履行时，双方应及时协商解决。</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本合同一式</w:t>
      </w:r>
      <w:r>
        <w:rPr>
          <w:rFonts w:hint="eastAsia" w:ascii="宋体" w:hAnsi="宋体" w:eastAsia="宋体"/>
          <w:sz w:val="24"/>
          <w:u w:val="single"/>
        </w:rPr>
        <w:t>陆</w:t>
      </w:r>
      <w:r>
        <w:rPr>
          <w:rFonts w:hint="eastAsia" w:ascii="宋体" w:hAnsi="宋体" w:eastAsia="宋体"/>
          <w:sz w:val="24"/>
        </w:rPr>
        <w:t>份，甲方</w:t>
      </w:r>
      <w:r>
        <w:rPr>
          <w:rFonts w:hint="eastAsia" w:ascii="宋体" w:hAnsi="宋体" w:eastAsia="宋体"/>
          <w:sz w:val="24"/>
          <w:u w:val="single"/>
        </w:rPr>
        <w:t>肆</w:t>
      </w:r>
      <w:r>
        <w:rPr>
          <w:rFonts w:hint="eastAsia" w:ascii="宋体" w:hAnsi="宋体" w:eastAsia="宋体"/>
          <w:sz w:val="24"/>
        </w:rPr>
        <w:t>份，乙方</w:t>
      </w:r>
      <w:r>
        <w:rPr>
          <w:rFonts w:hint="eastAsia" w:ascii="宋体" w:hAnsi="宋体" w:eastAsia="宋体"/>
          <w:sz w:val="24"/>
          <w:u w:val="single"/>
        </w:rPr>
        <w:t>贰</w:t>
      </w:r>
      <w:r>
        <w:rPr>
          <w:rFonts w:hint="eastAsia" w:ascii="宋体" w:hAnsi="宋体" w:eastAsia="宋体"/>
          <w:sz w:val="24"/>
        </w:rPr>
        <w:t>份。</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本合同经双方法定代表人或授权代表签名并加盖公章或合同专用章之日起生效，双方履行完所有义务合同终止。</w:t>
      </w:r>
    </w:p>
    <w:p>
      <w:pPr>
        <w:spacing w:line="520" w:lineRule="exact"/>
        <w:ind w:left="602"/>
        <w:rPr>
          <w:rFonts w:asciiTheme="minorEastAsia" w:hAnsiTheme="minorEastAsia" w:cstheme="minorEastAsia"/>
          <w:sz w:val="28"/>
          <w:szCs w:val="28"/>
        </w:rPr>
      </w:pPr>
      <w:r>
        <w:rPr>
          <w:rFonts w:hint="eastAsia" w:ascii="宋体" w:hAnsi="宋体" w:eastAsia="宋体"/>
          <w:sz w:val="24"/>
        </w:rPr>
        <w:t>(以下无正文)</w:t>
      </w:r>
    </w:p>
    <w:p>
      <w:pPr>
        <w:spacing w:line="520" w:lineRule="exact"/>
        <w:ind w:left="602"/>
        <w:rPr>
          <w:rFonts w:asciiTheme="minorEastAsia" w:hAnsiTheme="minorEastAsia" w:cstheme="minorEastAsia"/>
          <w:sz w:val="28"/>
          <w:szCs w:val="28"/>
        </w:rPr>
      </w:pPr>
    </w:p>
    <w:p>
      <w:pPr>
        <w:spacing w:line="520" w:lineRule="exact"/>
        <w:jc w:val="left"/>
        <w:rPr>
          <w:rFonts w:ascii="宋体" w:hAnsi="宋体" w:eastAsia="宋体" w:cs="宋体"/>
          <w:color w:val="000000"/>
          <w:kern w:val="0"/>
          <w:sz w:val="24"/>
          <w:lang w:bidi="ar"/>
        </w:rPr>
      </w:pPr>
      <w:r>
        <w:rPr>
          <w:rFonts w:hint="eastAsia" w:asciiTheme="minorEastAsia" w:hAnsiTheme="minorEastAsia"/>
          <w:sz w:val="24"/>
        </w:rPr>
        <w:t>甲方（盖章）：</w:t>
      </w:r>
      <w:r>
        <w:rPr>
          <w:rFonts w:hint="eastAsia" w:ascii="宋体" w:hAnsi="宋体" w:eastAsia="宋体"/>
          <w:kern w:val="0"/>
          <w:sz w:val="24"/>
        </w:rPr>
        <w:t>深圳市中天</w:t>
      </w:r>
      <w:r>
        <w:rPr>
          <w:rFonts w:asciiTheme="minorEastAsia" w:hAnsiTheme="minorEastAsia"/>
          <w:sz w:val="24"/>
        </w:rPr>
        <w:t xml:space="preserve">            </w:t>
      </w:r>
      <w:r>
        <w:rPr>
          <w:rFonts w:hint="eastAsia" w:asciiTheme="minorEastAsia" w:hAnsiTheme="minorEastAsia"/>
          <w:sz w:val="24"/>
        </w:rPr>
        <w:t>乙方（盖章）：</w:t>
      </w:r>
    </w:p>
    <w:p>
      <w:pPr>
        <w:widowControl/>
        <w:jc w:val="left"/>
      </w:pPr>
      <w:r>
        <w:rPr>
          <w:rFonts w:hint="eastAsia" w:ascii="宋体" w:hAnsi="宋体" w:eastAsia="宋体"/>
          <w:kern w:val="0"/>
          <w:sz w:val="24"/>
        </w:rPr>
        <w:t xml:space="preserve">实业有限公司 </w:t>
      </w:r>
      <w:r>
        <w:rPr>
          <w:rFonts w:ascii="宋体" w:hAnsi="宋体" w:eastAsia="宋体"/>
          <w:kern w:val="0"/>
          <w:sz w:val="24"/>
        </w:rPr>
        <w:t xml:space="preserve">                           </w:t>
      </w:r>
    </w:p>
    <w:p>
      <w:pPr>
        <w:snapToGrid w:val="0"/>
        <w:spacing w:line="480" w:lineRule="atLeast"/>
        <w:jc w:val="left"/>
        <w:rPr>
          <w:rFonts w:asciiTheme="minorEastAsia" w:hAnsiTheme="minorEastAsia"/>
          <w:sz w:val="24"/>
        </w:rPr>
      </w:pPr>
    </w:p>
    <w:p>
      <w:pPr>
        <w:widowControl/>
        <w:jc w:val="left"/>
        <w:rPr>
          <w:rFonts w:asciiTheme="minorEastAsia" w:hAnsiTheme="minorEastAsia"/>
          <w:sz w:val="24"/>
        </w:rPr>
      </w:pPr>
      <w:r>
        <w:rPr>
          <w:rFonts w:hint="eastAsia" w:asciiTheme="minorEastAsia" w:hAnsiTheme="minorEastAsia"/>
          <w:sz w:val="24"/>
        </w:rPr>
        <w:t>法定代表人：（签字）</w:t>
      </w:r>
      <w:r>
        <w:rPr>
          <w:rFonts w:asciiTheme="minorEastAsia" w:hAnsiTheme="minorEastAsia"/>
          <w:sz w:val="24"/>
        </w:rPr>
        <w:t xml:space="preserve">                法定代表人：（签字）</w:t>
      </w:r>
    </w:p>
    <w:p>
      <w:pPr>
        <w:spacing w:line="520" w:lineRule="exact"/>
        <w:ind w:left="416" w:leftChars="198"/>
        <w:jc w:val="left"/>
        <w:rPr>
          <w:rFonts w:asciiTheme="minorEastAsia" w:hAnsiTheme="minorEastAsia"/>
          <w:sz w:val="24"/>
        </w:rPr>
      </w:pPr>
      <w:r>
        <w:rPr>
          <w:rFonts w:hint="eastAsia" w:asciiTheme="minorEastAsia" w:hAnsiTheme="minorEastAsia"/>
          <w:sz w:val="24"/>
        </w:rPr>
        <w:t xml:space="preserve">或 </w:t>
      </w:r>
      <w:r>
        <w:rPr>
          <w:rFonts w:asciiTheme="minorEastAsia" w:hAnsiTheme="minorEastAsia"/>
          <w:sz w:val="24"/>
        </w:rPr>
        <w:t xml:space="preserve">                                 </w:t>
      </w:r>
      <w:r>
        <w:rPr>
          <w:rFonts w:hint="eastAsia" w:asciiTheme="minorEastAsia" w:hAnsiTheme="minorEastAsia"/>
          <w:sz w:val="24"/>
        </w:rPr>
        <w:t>或</w:t>
      </w:r>
    </w:p>
    <w:p>
      <w:pPr>
        <w:widowControl/>
        <w:jc w:val="left"/>
        <w:rPr>
          <w:rFonts w:asciiTheme="minorEastAsia" w:hAnsiTheme="minorEastAsia"/>
          <w:sz w:val="24"/>
        </w:rPr>
      </w:pPr>
      <w:r>
        <w:rPr>
          <w:rFonts w:hint="eastAsia" w:asciiTheme="minorEastAsia" w:hAnsiTheme="minorEastAsia"/>
          <w:sz w:val="24"/>
        </w:rPr>
        <w:t>授权代表：（签字）</w:t>
      </w:r>
      <w:r>
        <w:rPr>
          <w:rFonts w:asciiTheme="minorEastAsia" w:hAnsiTheme="minorEastAsia"/>
          <w:sz w:val="24"/>
        </w:rPr>
        <w:t xml:space="preserve">                  </w:t>
      </w:r>
      <w:r>
        <w:rPr>
          <w:rFonts w:hint="eastAsia" w:asciiTheme="minorEastAsia" w:hAnsiTheme="minorEastAsia"/>
          <w:sz w:val="24"/>
        </w:rPr>
        <w:t>授权代表：（签字</w:t>
      </w:r>
      <w:r>
        <w:rPr>
          <w:rFonts w:hint="eastAsia" w:ascii="宋体" w:hAnsi="宋体" w:eastAsia="宋体" w:cs="宋体"/>
          <w:color w:val="000000"/>
          <w:kern w:val="0"/>
          <w:sz w:val="24"/>
          <w:lang w:bidi="ar"/>
        </w:rPr>
        <w:t>）</w:t>
      </w:r>
    </w:p>
    <w:p>
      <w:pPr>
        <w:widowControl/>
        <w:ind w:left="4080" w:hanging="4080" w:hangingChars="1700"/>
        <w:jc w:val="left"/>
        <w:rPr>
          <w:rFonts w:ascii="宋体" w:hAnsi="宋体" w:eastAsia="宋体" w:cs="宋体"/>
          <w:color w:val="000000"/>
          <w:kern w:val="0"/>
          <w:sz w:val="24"/>
          <w:lang w:bidi="ar"/>
        </w:rPr>
      </w:pP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 xml:space="preserve">址：　　　　　　　　　     </w:t>
      </w:r>
      <w:r>
        <w:rPr>
          <w:rFonts w:asciiTheme="minorEastAsia" w:hAnsiTheme="minorEastAsia"/>
          <w:sz w:val="24"/>
        </w:rPr>
        <w:t xml:space="preserve">   </w:t>
      </w:r>
      <w:r>
        <w:rPr>
          <w:rFonts w:hint="eastAsia" w:asciiTheme="minorEastAsia" w:hAnsiTheme="minorEastAsia"/>
          <w:sz w:val="24"/>
        </w:rPr>
        <w:t>地</w:t>
      </w:r>
      <w:r>
        <w:rPr>
          <w:rFonts w:asciiTheme="minorEastAsia" w:hAnsiTheme="minorEastAsia"/>
          <w:sz w:val="24"/>
        </w:rPr>
        <w:t xml:space="preserve">    </w:t>
      </w:r>
      <w:r>
        <w:rPr>
          <w:rFonts w:hint="eastAsia" w:asciiTheme="minorEastAsia" w:hAnsiTheme="minorEastAsia"/>
          <w:sz w:val="24"/>
        </w:rPr>
        <w:t>址</w:t>
      </w:r>
      <w:r>
        <w:rPr>
          <w:rFonts w:hint="eastAsia" w:ascii="宋体" w:hAnsi="宋体" w:eastAsia="宋体" w:cs="宋体"/>
          <w:color w:val="000000"/>
          <w:kern w:val="0"/>
          <w:sz w:val="24"/>
          <w:lang w:bidi="ar"/>
        </w:rPr>
        <w:t>：</w:t>
      </w:r>
    </w:p>
    <w:p>
      <w:pPr>
        <w:spacing w:line="520" w:lineRule="exact"/>
        <w:jc w:val="left"/>
        <w:rPr>
          <w:rFonts w:asciiTheme="minorEastAsia" w:hAnsiTheme="minorEastAsia"/>
          <w:sz w:val="24"/>
        </w:rPr>
      </w:pPr>
      <w:r>
        <w:rPr>
          <w:rFonts w:hint="eastAsia" w:asciiTheme="minorEastAsia" w:hAnsiTheme="minorEastAsia"/>
          <w:sz w:val="24"/>
        </w:rPr>
        <w:t>邮政编码：</w:t>
      </w:r>
      <w:r>
        <w:rPr>
          <w:rFonts w:asciiTheme="minorEastAsia" w:hAnsiTheme="minorEastAsia"/>
          <w:sz w:val="24"/>
        </w:rPr>
        <w:t xml:space="preserve">  /</w:t>
      </w:r>
      <w:r>
        <w:rPr>
          <w:rFonts w:hint="eastAsia" w:asciiTheme="minorEastAsia" w:hAnsiTheme="minorEastAsia"/>
          <w:sz w:val="24"/>
        </w:rPr>
        <w:t>　　　　　　　　</w:t>
      </w:r>
      <w:r>
        <w:rPr>
          <w:rFonts w:asciiTheme="minorEastAsia" w:hAnsiTheme="minorEastAsia"/>
          <w:sz w:val="24"/>
        </w:rPr>
        <w:t xml:space="preserve">       </w:t>
      </w:r>
      <w:r>
        <w:rPr>
          <w:rFonts w:hint="eastAsia" w:asciiTheme="minorEastAsia" w:hAnsiTheme="minorEastAsia"/>
          <w:sz w:val="24"/>
        </w:rPr>
        <w:t>邮政编码：</w:t>
      </w:r>
    </w:p>
    <w:p>
      <w:pPr>
        <w:spacing w:line="520" w:lineRule="exact"/>
        <w:jc w:val="left"/>
        <w:rPr>
          <w:rFonts w:asciiTheme="minorEastAsia" w:hAnsiTheme="minorEastAsia"/>
          <w:sz w:val="24"/>
        </w:rPr>
      </w:pPr>
      <w:r>
        <w:rPr>
          <w:rFonts w:hint="eastAsia" w:asciiTheme="minorEastAsia" w:hAnsiTheme="minorEastAsia"/>
          <w:sz w:val="24"/>
        </w:rPr>
        <w:t>电　　话：　/　　　　　　　　</w:t>
      </w:r>
      <w:r>
        <w:rPr>
          <w:rFonts w:asciiTheme="minorEastAsia" w:hAnsiTheme="minorEastAsia"/>
          <w:sz w:val="24"/>
        </w:rPr>
        <w:t xml:space="preserve">       </w:t>
      </w:r>
      <w:r>
        <w:rPr>
          <w:rFonts w:hint="eastAsia" w:asciiTheme="minorEastAsia" w:hAnsiTheme="minorEastAsia"/>
          <w:sz w:val="24"/>
        </w:rPr>
        <w:t>电　　话：</w:t>
      </w:r>
    </w:p>
    <w:p>
      <w:pPr>
        <w:spacing w:line="520" w:lineRule="exact"/>
        <w:ind w:left="4800" w:hanging="4800" w:hangingChars="2000"/>
        <w:jc w:val="left"/>
        <w:rPr>
          <w:rFonts w:asciiTheme="minorEastAsia" w:hAnsiTheme="minorEastAsia"/>
          <w:sz w:val="24"/>
        </w:rPr>
      </w:pPr>
      <w:r>
        <w:rPr>
          <w:rFonts w:hint="eastAsia" w:asciiTheme="minorEastAsia" w:hAnsiTheme="minorEastAsia"/>
          <w:sz w:val="24"/>
        </w:rPr>
        <w:t>开户银行：</w:t>
      </w:r>
      <w:r>
        <w:rPr>
          <w:rFonts w:asciiTheme="minorEastAsia" w:hAnsiTheme="minorEastAsia"/>
          <w:sz w:val="24"/>
        </w:rPr>
        <w:t xml:space="preserve">  /                       </w:t>
      </w:r>
      <w:r>
        <w:rPr>
          <w:rFonts w:hint="eastAsia" w:asciiTheme="minorEastAsia" w:hAnsiTheme="minorEastAsia"/>
          <w:sz w:val="24"/>
        </w:rPr>
        <w:t>开户银行：</w:t>
      </w:r>
    </w:p>
    <w:p>
      <w:pPr>
        <w:spacing w:line="520" w:lineRule="exact"/>
        <w:jc w:val="left"/>
        <w:rPr>
          <w:rFonts w:asciiTheme="minorEastAsia" w:hAnsiTheme="minorEastAsia"/>
          <w:sz w:val="24"/>
        </w:rPr>
      </w:pPr>
      <w:r>
        <w:rPr>
          <w:rFonts w:hint="eastAsia" w:asciiTheme="minorEastAsia" w:hAnsiTheme="minorEastAsia"/>
          <w:sz w:val="24"/>
        </w:rPr>
        <w:t>账</w:t>
      </w:r>
      <w:r>
        <w:rPr>
          <w:rFonts w:asciiTheme="minorEastAsia" w:hAnsiTheme="minorEastAsia"/>
          <w:sz w:val="24"/>
        </w:rPr>
        <w:t xml:space="preserve">    </w:t>
      </w:r>
      <w:r>
        <w:rPr>
          <w:rFonts w:hint="eastAsia" w:asciiTheme="minorEastAsia" w:hAnsiTheme="minorEastAsia"/>
          <w:sz w:val="24"/>
        </w:rPr>
        <w:t>号：</w:t>
      </w:r>
      <w:r>
        <w:rPr>
          <w:rFonts w:asciiTheme="minorEastAsia" w:hAnsiTheme="minorEastAsia"/>
          <w:sz w:val="24"/>
        </w:rPr>
        <w:t xml:space="preserve">  /                       </w:t>
      </w:r>
      <w:r>
        <w:rPr>
          <w:rFonts w:hint="eastAsia" w:asciiTheme="minorEastAsia" w:hAnsiTheme="minorEastAsia"/>
          <w:sz w:val="24"/>
        </w:rPr>
        <w:t>账</w:t>
      </w:r>
      <w:r>
        <w:rPr>
          <w:rFonts w:asciiTheme="minorEastAsia" w:hAnsiTheme="minorEastAsia"/>
          <w:sz w:val="24"/>
        </w:rPr>
        <w:t xml:space="preserve">    </w:t>
      </w:r>
      <w:r>
        <w:rPr>
          <w:rFonts w:hint="eastAsia" w:asciiTheme="minorEastAsia" w:hAnsiTheme="minorEastAsia"/>
          <w:sz w:val="24"/>
        </w:rPr>
        <w:t>号：</w:t>
      </w:r>
    </w:p>
    <w:p>
      <w:pPr>
        <w:spacing w:line="520" w:lineRule="exact"/>
        <w:rPr>
          <w:rFonts w:ascii="仿宋" w:hAnsi="仿宋" w:eastAsia="仿宋"/>
          <w:sz w:val="32"/>
          <w:szCs w:val="32"/>
        </w:rPr>
      </w:pPr>
    </w:p>
    <w:p>
      <w:pPr>
        <w:spacing w:line="520" w:lineRule="exact"/>
        <w:rPr>
          <w:rFonts w:ascii="仿宋" w:hAnsi="仿宋" w:eastAsia="仿宋"/>
          <w:sz w:val="32"/>
          <w:szCs w:val="32"/>
        </w:rPr>
      </w:pPr>
    </w:p>
    <w:p>
      <w:pPr>
        <w:spacing w:line="520" w:lineRule="exact"/>
        <w:rPr>
          <w:rFonts w:asciiTheme="minorEastAsia" w:hAnsiTheme="minorEastAsia"/>
          <w:sz w:val="24"/>
        </w:rPr>
      </w:pPr>
      <w:r>
        <w:rPr>
          <w:rFonts w:hint="eastAsia" w:asciiTheme="minorEastAsia" w:hAnsiTheme="minorEastAsia"/>
          <w:sz w:val="24"/>
        </w:rPr>
        <w:t>签订日期：　　年　月　日　　　</w:t>
      </w:r>
      <w:r>
        <w:rPr>
          <w:rFonts w:asciiTheme="minorEastAsia" w:hAnsiTheme="minorEastAsia"/>
          <w:sz w:val="24"/>
        </w:rPr>
        <w:t xml:space="preserve">    </w:t>
      </w:r>
    </w:p>
    <w:p>
      <w:pPr>
        <w:rPr>
          <w:rFonts w:asciiTheme="minorEastAsia" w:hAnsiTheme="minorEastAsia" w:cstheme="minorEastAsia"/>
          <w:sz w:val="28"/>
          <w:szCs w:val="28"/>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p>
    <w:p>
      <w:pPr>
        <w:jc w:val="center"/>
        <w:rPr>
          <w:rFonts w:ascii="黑体" w:hAnsi="黑体" w:eastAsia="黑体"/>
          <w:b/>
          <w:sz w:val="52"/>
          <w:szCs w:val="52"/>
        </w:rPr>
      </w:pPr>
      <w:r>
        <w:rPr>
          <w:rFonts w:hint="eastAsia" w:ascii="黑体" w:hAnsi="黑体" w:eastAsia="黑体"/>
          <w:b/>
          <w:sz w:val="52"/>
          <w:szCs w:val="52"/>
        </w:rPr>
        <w:t>深圳市中天实业有限公司</w:t>
      </w:r>
    </w:p>
    <w:p/>
    <w:p/>
    <w:p>
      <w:pPr>
        <w:jc w:val="center"/>
        <w:rPr>
          <w:rFonts w:ascii="黑体" w:hAnsi="黑体" w:eastAsia="黑体"/>
          <w:b/>
          <w:sz w:val="44"/>
          <w:szCs w:val="44"/>
        </w:rPr>
      </w:pPr>
      <w:r>
        <w:rPr>
          <w:rFonts w:hint="eastAsia" w:ascii="黑体" w:hAnsi="黑体" w:eastAsia="黑体"/>
          <w:b/>
          <w:sz w:val="44"/>
          <w:szCs w:val="44"/>
        </w:rPr>
        <w:t>特力珠宝大厦负一楼与水贝国际连接处布局调整装修</w:t>
      </w:r>
    </w:p>
    <w:p>
      <w:pPr>
        <w:jc w:val="center"/>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设计任务书</w:t>
      </w:r>
    </w:p>
    <w:p>
      <w:pPr>
        <w:jc w:val="center"/>
        <w:rPr>
          <w:rFonts w:ascii="黑体" w:hAnsi="黑体" w:eastAsia="黑体"/>
          <w:b/>
          <w:sz w:val="44"/>
          <w:szCs w:val="44"/>
        </w:rPr>
      </w:pPr>
    </w:p>
    <w:p>
      <w:pPr>
        <w:widowControl/>
        <w:jc w:val="left"/>
        <w:rPr>
          <w:rFonts w:ascii="黑体" w:hAnsi="黑体" w:eastAsia="黑体"/>
          <w:b/>
          <w:sz w:val="44"/>
          <w:szCs w:val="44"/>
        </w:rPr>
      </w:pPr>
      <w:r>
        <w:rPr>
          <w:rFonts w:ascii="黑体" w:hAnsi="黑体" w:eastAsia="黑体"/>
          <w:b/>
          <w:sz w:val="44"/>
          <w:szCs w:val="44"/>
        </w:rPr>
        <w:br w:type="page"/>
      </w:r>
    </w:p>
    <w:p>
      <w:pPr>
        <w:spacing w:before="156" w:beforeLines="50" w:line="480" w:lineRule="auto"/>
        <w:jc w:val="center"/>
        <w:rPr>
          <w:rFonts w:ascii="仿宋" w:hAnsi="仿宋" w:eastAsia="仿宋" w:cs="宋体"/>
          <w:sz w:val="32"/>
          <w:szCs w:val="32"/>
        </w:rPr>
      </w:pPr>
      <w:bookmarkStart w:id="9" w:name="_Toc26284_WPSOffice_Level1"/>
      <w:r>
        <w:rPr>
          <w:rFonts w:hint="eastAsia" w:ascii="仿宋" w:hAnsi="仿宋" w:eastAsia="仿宋" w:cs="宋体"/>
          <w:b/>
          <w:bCs/>
          <w:sz w:val="32"/>
          <w:szCs w:val="32"/>
        </w:rPr>
        <w:t>设计须知</w:t>
      </w:r>
      <w:bookmarkEnd w:id="9"/>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装修设计公司在设计前，须认真阅读本室内装修工程设计任务书及其附件，严格按照设计要求进行各项工作。</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文件及其附件的任何文字、数字，均不得修改。装修设计公司如有疑问，应在工作正式开始前向甲方提出书面意见，由甲方统一解答。</w:t>
      </w:r>
    </w:p>
    <w:p>
      <w:pPr>
        <w:ind w:firstLine="560" w:firstLineChars="200"/>
        <w:rPr>
          <w:rFonts w:ascii="仿宋" w:hAnsi="仿宋" w:eastAsia="仿宋" w:cs="宋体"/>
          <w:sz w:val="28"/>
          <w:szCs w:val="28"/>
        </w:rPr>
      </w:pPr>
      <w:r>
        <w:rPr>
          <w:rFonts w:hint="eastAsia" w:ascii="仿宋" w:hAnsi="仿宋" w:eastAsia="仿宋" w:cs="宋体"/>
          <w:sz w:val="28"/>
          <w:szCs w:val="28"/>
        </w:rPr>
        <w:t>本文件及其所有附件均作为合同附件共同执行。</w:t>
      </w:r>
    </w:p>
    <w:p>
      <w:pPr>
        <w:ind w:firstLine="560" w:firstLineChars="200"/>
        <w:rPr>
          <w:rFonts w:ascii="仿宋" w:hAnsi="仿宋" w:eastAsia="仿宋" w:cs="宋体"/>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项目概况</w:t>
      </w:r>
    </w:p>
    <w:p>
      <w:pPr>
        <w:pStyle w:val="14"/>
        <w:numPr>
          <w:ilvl w:val="0"/>
          <w:numId w:val="18"/>
        </w:numPr>
        <w:ind w:firstLineChars="0"/>
        <w:rPr>
          <w:rFonts w:ascii="仿宋" w:hAnsi="仿宋" w:eastAsia="仿宋"/>
          <w:sz w:val="28"/>
          <w:szCs w:val="28"/>
        </w:rPr>
      </w:pPr>
      <w:r>
        <w:rPr>
          <w:rFonts w:hint="eastAsia" w:ascii="仿宋" w:hAnsi="仿宋" w:eastAsia="仿宋"/>
          <w:sz w:val="28"/>
          <w:szCs w:val="28"/>
        </w:rPr>
        <w:t>项目名称：特力珠宝大厦负一楼与水贝国际连接处布局调整装修</w:t>
      </w:r>
    </w:p>
    <w:p>
      <w:pPr>
        <w:pStyle w:val="14"/>
        <w:numPr>
          <w:ilvl w:val="0"/>
          <w:numId w:val="18"/>
        </w:numPr>
        <w:ind w:firstLineChars="0"/>
        <w:rPr>
          <w:rFonts w:ascii="仿宋" w:hAnsi="仿宋" w:eastAsia="仿宋"/>
          <w:sz w:val="28"/>
          <w:szCs w:val="28"/>
        </w:rPr>
      </w:pPr>
      <w:r>
        <w:rPr>
          <w:rFonts w:hint="eastAsia" w:ascii="仿宋" w:hAnsi="仿宋" w:eastAsia="仿宋"/>
          <w:sz w:val="28"/>
          <w:szCs w:val="28"/>
        </w:rPr>
        <w:t>工程地点：罗湖区水贝翠竹街道</w:t>
      </w:r>
    </w:p>
    <w:p>
      <w:pPr>
        <w:pStyle w:val="14"/>
        <w:numPr>
          <w:ilvl w:val="0"/>
          <w:numId w:val="18"/>
        </w:numPr>
        <w:ind w:firstLineChars="0"/>
        <w:rPr>
          <w:rFonts w:ascii="仿宋" w:hAnsi="仿宋" w:eastAsia="仿宋"/>
          <w:sz w:val="28"/>
          <w:szCs w:val="28"/>
        </w:rPr>
      </w:pPr>
      <w:r>
        <w:rPr>
          <w:rFonts w:hint="eastAsia" w:ascii="仿宋" w:hAnsi="仿宋" w:eastAsia="仿宋"/>
          <w:sz w:val="28"/>
          <w:szCs w:val="28"/>
        </w:rPr>
        <w:t>工程概况：特力珠宝大厦负一楼与水贝国际连接处包含原展厅、原物业办公室、水贝国际下沉区等，设计面积约2065㎡。</w:t>
      </w:r>
    </w:p>
    <w:p>
      <w:pPr>
        <w:pStyle w:val="14"/>
        <w:numPr>
          <w:ilvl w:val="0"/>
          <w:numId w:val="18"/>
        </w:numPr>
        <w:ind w:firstLineChars="0"/>
        <w:rPr>
          <w:rFonts w:ascii="仿宋" w:hAnsi="仿宋" w:eastAsia="仿宋"/>
          <w:sz w:val="28"/>
          <w:szCs w:val="28"/>
        </w:rPr>
      </w:pPr>
      <w:r>
        <w:rPr>
          <w:rFonts w:hint="eastAsia" w:ascii="仿宋" w:hAnsi="仿宋" w:eastAsia="仿宋"/>
          <w:sz w:val="28"/>
          <w:szCs w:val="28"/>
        </w:rPr>
        <w:t>项目特点：依据珠宝</w:t>
      </w:r>
      <w:r>
        <w:rPr>
          <w:rFonts w:ascii="仿宋" w:hAnsi="仿宋" w:eastAsia="仿宋"/>
          <w:sz w:val="28"/>
          <w:szCs w:val="28"/>
        </w:rPr>
        <w:t>行业</w:t>
      </w:r>
      <w:r>
        <w:rPr>
          <w:rFonts w:hint="eastAsia" w:ascii="仿宋" w:hAnsi="仿宋" w:eastAsia="仿宋"/>
          <w:sz w:val="28"/>
          <w:szCs w:val="28"/>
        </w:rPr>
        <w:t>发展趋势和预招商意向</w:t>
      </w:r>
      <w:r>
        <w:rPr>
          <w:rFonts w:ascii="仿宋" w:hAnsi="仿宋" w:eastAsia="仿宋"/>
          <w:sz w:val="28"/>
          <w:szCs w:val="28"/>
        </w:rPr>
        <w:t>登记</w:t>
      </w:r>
      <w:r>
        <w:rPr>
          <w:rFonts w:hint="eastAsia" w:ascii="仿宋" w:hAnsi="仿宋" w:eastAsia="仿宋"/>
          <w:sz w:val="28"/>
          <w:szCs w:val="28"/>
        </w:rPr>
        <w:t>需求数据，特力水贝珠宝大厦一期规划以办公、展厅、研发、设计、珠宝产品批发等为主营业态，以电商、金融、休闲餐饮、人才服务等作为配套，主体面向中高端珠宝企业提供租赁物业的基础功能服务平台。</w:t>
      </w:r>
    </w:p>
    <w:p>
      <w:pPr>
        <w:pStyle w:val="14"/>
        <w:ind w:firstLine="0" w:firstLineChars="0"/>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设计依据</w:t>
      </w:r>
    </w:p>
    <w:p>
      <w:pPr>
        <w:pStyle w:val="19"/>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中华人民共和国的国家、行业及深圳市批准的现行建筑工程设计相关的法规、标准和规范，包括但不限于：</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《建筑设计防火规范》GB50016-2014</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《建筑内部装修设计防火规范》GB50222-2017</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《办公建筑设计规范》JGJ67-2006</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《建筑给水排水设计规范》GB50015-2003</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《采暖通风与空气调节设计规范》BG50019-2016</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《建筑装饰装修工程施工质量验收规范》GB50210-2013</w:t>
      </w:r>
    </w:p>
    <w:p>
      <w:pPr>
        <w:pStyle w:val="19"/>
        <w:numPr>
          <w:ilvl w:val="0"/>
          <w:numId w:val="19"/>
        </w:numPr>
        <w:tabs>
          <w:tab w:val="left" w:pos="0"/>
        </w:tabs>
        <w:spacing w:line="360" w:lineRule="auto"/>
        <w:ind w:firstLineChars="0"/>
        <w:rPr>
          <w:rFonts w:ascii="仿宋" w:hAnsi="仿宋" w:eastAsia="仿宋" w:cstheme="minorBidi"/>
          <w:sz w:val="28"/>
          <w:szCs w:val="28"/>
        </w:rPr>
      </w:pPr>
      <w:r>
        <w:rPr>
          <w:rFonts w:hint="eastAsia" w:ascii="仿宋" w:hAnsi="仿宋" w:eastAsia="仿宋" w:cstheme="minorBidi"/>
          <w:sz w:val="28"/>
          <w:szCs w:val="28"/>
        </w:rPr>
        <w:t>本设计任务书。</w:t>
      </w:r>
    </w:p>
    <w:p>
      <w:pPr>
        <w:pStyle w:val="19"/>
        <w:numPr>
          <w:ilvl w:val="255"/>
          <w:numId w:val="0"/>
        </w:numPr>
        <w:tabs>
          <w:tab w:val="left" w:pos="0"/>
        </w:tabs>
        <w:spacing w:line="360" w:lineRule="auto"/>
        <w:ind w:left="420"/>
        <w:rPr>
          <w:rFonts w:ascii="仿宋" w:hAnsi="仿宋" w:eastAsia="仿宋" w:cstheme="minorBidi"/>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客户群体</w:t>
      </w:r>
    </w:p>
    <w:p>
      <w:pPr>
        <w:ind w:firstLine="560" w:firstLineChars="200"/>
        <w:rPr>
          <w:rFonts w:ascii="仿宋" w:hAnsi="仿宋" w:eastAsia="仿宋"/>
          <w:sz w:val="28"/>
          <w:szCs w:val="28"/>
        </w:rPr>
      </w:pPr>
      <w:r>
        <w:rPr>
          <w:rFonts w:hint="eastAsia" w:ascii="仿宋" w:hAnsi="仿宋" w:eastAsia="仿宋"/>
          <w:sz w:val="28"/>
          <w:szCs w:val="28"/>
        </w:rPr>
        <w:t>主要引进及保留原有珠宝行业内有影响力和实力的中高端（主力商家）珠宝企业。主要以黄金、镶嵌、K金、</w:t>
      </w:r>
      <w:r>
        <w:rPr>
          <w:rFonts w:ascii="仿宋" w:hAnsi="仿宋" w:eastAsia="仿宋"/>
          <w:sz w:val="28"/>
          <w:szCs w:val="28"/>
        </w:rPr>
        <w:t>特殊工艺产品、</w:t>
      </w:r>
      <w:r>
        <w:rPr>
          <w:rFonts w:hint="eastAsia" w:ascii="仿宋" w:hAnsi="仿宋" w:eastAsia="仿宋"/>
          <w:sz w:val="28"/>
          <w:szCs w:val="28"/>
        </w:rPr>
        <w:t>彩宝、银饰、包装道具与</w:t>
      </w:r>
      <w:r>
        <w:rPr>
          <w:rFonts w:ascii="仿宋" w:hAnsi="仿宋" w:eastAsia="仿宋"/>
          <w:sz w:val="28"/>
          <w:szCs w:val="28"/>
        </w:rPr>
        <w:t>营业用具</w:t>
      </w:r>
      <w:r>
        <w:rPr>
          <w:rFonts w:hint="eastAsia" w:ascii="仿宋" w:hAnsi="仿宋" w:eastAsia="仿宋"/>
          <w:sz w:val="28"/>
          <w:szCs w:val="28"/>
        </w:rPr>
        <w:t>类批发商户为主。</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 </w:t>
      </w: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工作范围</w:t>
      </w:r>
    </w:p>
    <w:p>
      <w:pPr>
        <w:pStyle w:val="14"/>
        <w:numPr>
          <w:ilvl w:val="0"/>
          <w:numId w:val="20"/>
        </w:numPr>
        <w:ind w:firstLineChars="0"/>
        <w:rPr>
          <w:rFonts w:ascii="仿宋" w:hAnsi="仿宋" w:eastAsia="仿宋"/>
          <w:sz w:val="28"/>
          <w:szCs w:val="28"/>
        </w:rPr>
      </w:pPr>
      <w:r>
        <w:rPr>
          <w:rFonts w:hint="eastAsia" w:ascii="仿宋" w:hAnsi="仿宋" w:eastAsia="仿宋"/>
          <w:sz w:val="28"/>
          <w:szCs w:val="28"/>
        </w:rPr>
        <w:t>合同约定内包括室内装饰专业、强弱电专业、给排水专业、暖通专业、消防设计和与本次设计图纸相关等设计内容。</w:t>
      </w:r>
    </w:p>
    <w:p>
      <w:pPr>
        <w:pStyle w:val="14"/>
        <w:numPr>
          <w:ilvl w:val="0"/>
          <w:numId w:val="20"/>
        </w:numPr>
        <w:ind w:firstLineChars="0"/>
        <w:rPr>
          <w:rFonts w:ascii="仿宋" w:hAnsi="仿宋" w:eastAsia="仿宋"/>
          <w:sz w:val="28"/>
          <w:szCs w:val="28"/>
        </w:rPr>
      </w:pPr>
      <w:r>
        <w:rPr>
          <w:rFonts w:hint="eastAsia" w:ascii="仿宋" w:hAnsi="仿宋" w:eastAsia="仿宋"/>
          <w:sz w:val="28"/>
          <w:szCs w:val="28"/>
        </w:rPr>
        <w:t>方案设计、施工图设计、施工配合、竣工验收配合、竣工图审核等涉及本项目的一切设计工作、与设计相关的配合工作。</w:t>
      </w:r>
    </w:p>
    <w:p>
      <w:pPr>
        <w:pStyle w:val="14"/>
        <w:numPr>
          <w:ilvl w:val="0"/>
          <w:numId w:val="20"/>
        </w:numPr>
        <w:ind w:firstLineChars="0"/>
        <w:rPr>
          <w:rFonts w:ascii="仿宋" w:hAnsi="仿宋" w:eastAsia="仿宋"/>
          <w:sz w:val="28"/>
          <w:szCs w:val="28"/>
        </w:rPr>
      </w:pPr>
      <w:r>
        <w:rPr>
          <w:rFonts w:hint="eastAsia" w:ascii="仿宋" w:hAnsi="仿宋" w:eastAsia="仿宋"/>
          <w:sz w:val="28"/>
          <w:szCs w:val="28"/>
        </w:rPr>
        <w:t>其他属于室内设计范畴的内容。</w:t>
      </w:r>
    </w:p>
    <w:p>
      <w:pPr>
        <w:pStyle w:val="14"/>
        <w:numPr>
          <w:ilvl w:val="255"/>
          <w:numId w:val="0"/>
        </w:numPr>
        <w:ind w:left="420"/>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限额设计</w:t>
      </w:r>
    </w:p>
    <w:p>
      <w:pPr>
        <w:pStyle w:val="14"/>
        <w:numPr>
          <w:ilvl w:val="0"/>
          <w:numId w:val="21"/>
        </w:numPr>
        <w:ind w:firstLineChars="0"/>
        <w:rPr>
          <w:rFonts w:ascii="仿宋" w:hAnsi="仿宋" w:eastAsia="仿宋"/>
          <w:sz w:val="28"/>
          <w:szCs w:val="28"/>
        </w:rPr>
      </w:pPr>
      <w:r>
        <w:rPr>
          <w:rFonts w:hint="eastAsia" w:ascii="仿宋" w:hAnsi="仿宋" w:eastAsia="仿宋"/>
          <w:sz w:val="28"/>
          <w:szCs w:val="28"/>
        </w:rPr>
        <w:t>实际装修区域（不含边铺）施工图预算不高于</w:t>
      </w:r>
      <w:r>
        <w:rPr>
          <w:rFonts w:ascii="仿宋" w:hAnsi="仿宋" w:eastAsia="仿宋"/>
          <w:sz w:val="28"/>
          <w:szCs w:val="28"/>
        </w:rPr>
        <w:t>4400</w:t>
      </w:r>
      <w:r>
        <w:rPr>
          <w:rFonts w:hint="eastAsia" w:ascii="仿宋" w:hAnsi="仿宋" w:eastAsia="仿宋"/>
          <w:sz w:val="28"/>
          <w:szCs w:val="28"/>
        </w:rPr>
        <w:t>元/㎡。</w:t>
      </w:r>
    </w:p>
    <w:p>
      <w:pPr>
        <w:pStyle w:val="14"/>
        <w:numPr>
          <w:ilvl w:val="255"/>
          <w:numId w:val="0"/>
        </w:numPr>
        <w:ind w:left="420"/>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设计要求</w:t>
      </w:r>
    </w:p>
    <w:p>
      <w:pPr>
        <w:ind w:firstLine="560" w:firstLineChars="200"/>
        <w:rPr>
          <w:rFonts w:ascii="仿宋" w:hAnsi="仿宋" w:eastAsia="仿宋"/>
          <w:sz w:val="28"/>
          <w:szCs w:val="28"/>
        </w:rPr>
      </w:pPr>
      <w:r>
        <w:rPr>
          <w:rFonts w:hint="eastAsia" w:ascii="仿宋" w:hAnsi="仿宋" w:eastAsia="仿宋"/>
          <w:sz w:val="28"/>
          <w:szCs w:val="28"/>
        </w:rPr>
        <w:t>特力珠宝大厦负一楼与水贝国际连接处计划设置为边铺、岛柜等，满足看货、展览，交易等珠宝卖场多种功能要求；充分利用现有负一楼靠近水贝国际处展厅、局部办公等空间，弱化珠宝大厦卖场与其他卖场之间的边界感，对卖场统筹考虑改造为珠宝卖场，进行布局调整装修，增加商业动线、提高人流。</w:t>
      </w:r>
    </w:p>
    <w:p>
      <w:pPr>
        <w:ind w:firstLine="560" w:firstLineChars="200"/>
        <w:rPr>
          <w:rFonts w:ascii="仿宋" w:hAnsi="仿宋" w:eastAsia="仿宋"/>
          <w:sz w:val="28"/>
          <w:szCs w:val="28"/>
        </w:rPr>
      </w:pPr>
      <w:r>
        <w:rPr>
          <w:rFonts w:hint="eastAsia" w:ascii="仿宋" w:hAnsi="仿宋" w:eastAsia="仿宋"/>
          <w:sz w:val="28"/>
          <w:szCs w:val="28"/>
        </w:rPr>
        <w:t>依据本设计任务书及附件，方案设计应与珠宝大厦原有文化相结合，突出珠宝主题元素，以高贵、典雅、现代、国际化为设计方向，充分体现高质感、高贵感，满足黄金珠宝首饰参展商及购物者高雅华贵的心理需求。整体设计有一定的超前性，同时考虑整体空间设计多功能性、材料选用、后期维护、改造便捷性及运营成本，并对重要节点的施工方案进行说明。</w:t>
      </w:r>
    </w:p>
    <w:p>
      <w:pPr>
        <w:ind w:firstLine="560" w:firstLineChars="200"/>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设计要点</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需满足各形式卖场（边铺、岛柜、边柜、特装、延展）展览、看货、交易的使用要求。</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完善室内空间组织和边界处理，要求基于对原建筑设计意图进行充分理解及功能分析,采取适当设计手段优化建筑空间。</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展厅</w:t>
      </w:r>
      <w:r>
        <w:rPr>
          <w:rFonts w:ascii="仿宋" w:hAnsi="仿宋" w:eastAsia="仿宋"/>
          <w:sz w:val="28"/>
          <w:szCs w:val="28"/>
        </w:rPr>
        <w:t>区域灯光设计应充分考虑珠宝产业的特殊性。</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考虑大厦引流宣传区位置及形式</w:t>
      </w:r>
      <w:r>
        <w:rPr>
          <w:rFonts w:ascii="仿宋" w:hAnsi="仿宋" w:eastAsia="仿宋"/>
          <w:sz w:val="28"/>
          <w:szCs w:val="28"/>
        </w:rPr>
        <w:t>。</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以整体化处理或点缀适当美化消防栓；防火卷帘—可隐藏于天花里；除符合规范外，考虑其形式，美观及上下收口。</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天花设计需结合暖通、安防、消防设备的安装，既考虑可实施性，又兼顾造型。</w:t>
      </w:r>
    </w:p>
    <w:p>
      <w:pPr>
        <w:pStyle w:val="14"/>
        <w:numPr>
          <w:ilvl w:val="0"/>
          <w:numId w:val="22"/>
        </w:numPr>
        <w:ind w:firstLineChars="0"/>
        <w:rPr>
          <w:rFonts w:ascii="仿宋" w:hAnsi="仿宋" w:eastAsia="仿宋"/>
          <w:sz w:val="28"/>
          <w:szCs w:val="28"/>
        </w:rPr>
      </w:pPr>
      <w:r>
        <w:rPr>
          <w:rFonts w:ascii="仿宋" w:hAnsi="仿宋" w:eastAsia="仿宋"/>
          <w:sz w:val="28"/>
          <w:szCs w:val="28"/>
        </w:rPr>
        <w:t>充分考虑</w:t>
      </w:r>
      <w:r>
        <w:rPr>
          <w:rFonts w:hint="eastAsia" w:ascii="仿宋" w:hAnsi="仿宋" w:eastAsia="仿宋"/>
          <w:sz w:val="28"/>
          <w:szCs w:val="28"/>
        </w:rPr>
        <w:t>灯光及布局变换的用电点位布置及用电负荷</w:t>
      </w:r>
      <w:r>
        <w:rPr>
          <w:rFonts w:ascii="仿宋" w:hAnsi="仿宋" w:eastAsia="仿宋"/>
          <w:sz w:val="28"/>
          <w:szCs w:val="28"/>
        </w:rPr>
        <w:t>条件</w:t>
      </w:r>
      <w:r>
        <w:rPr>
          <w:rFonts w:hint="eastAsia" w:ascii="仿宋" w:hAnsi="仿宋" w:eastAsia="仿宋"/>
          <w:sz w:val="28"/>
          <w:szCs w:val="28"/>
        </w:rPr>
        <w:t>。</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需考虑整体卖场联通性及人员动线，便于后期管理维护。</w:t>
      </w:r>
    </w:p>
    <w:p>
      <w:pPr>
        <w:pStyle w:val="14"/>
        <w:numPr>
          <w:ilvl w:val="0"/>
          <w:numId w:val="22"/>
        </w:numPr>
        <w:ind w:firstLineChars="0"/>
        <w:rPr>
          <w:rFonts w:ascii="仿宋" w:hAnsi="仿宋" w:eastAsia="仿宋"/>
          <w:sz w:val="28"/>
          <w:szCs w:val="28"/>
        </w:rPr>
      </w:pPr>
      <w:r>
        <w:rPr>
          <w:rFonts w:ascii="仿宋" w:hAnsi="仿宋" w:eastAsia="仿宋"/>
          <w:sz w:val="28"/>
          <w:szCs w:val="28"/>
        </w:rPr>
        <w:t>图纸应满足消防要求，并配合甲方消防报建。</w:t>
      </w:r>
    </w:p>
    <w:p>
      <w:pPr>
        <w:pStyle w:val="14"/>
        <w:numPr>
          <w:ilvl w:val="0"/>
          <w:numId w:val="22"/>
        </w:numPr>
        <w:ind w:firstLineChars="0"/>
        <w:rPr>
          <w:rFonts w:ascii="仿宋" w:hAnsi="仿宋" w:eastAsia="仿宋"/>
          <w:sz w:val="28"/>
          <w:szCs w:val="28"/>
        </w:rPr>
      </w:pPr>
      <w:r>
        <w:rPr>
          <w:rFonts w:hint="eastAsia" w:ascii="仿宋" w:hAnsi="仿宋" w:eastAsia="仿宋"/>
          <w:sz w:val="28"/>
          <w:szCs w:val="28"/>
        </w:rPr>
        <w:t>其他注意事项见需求表。</w:t>
      </w:r>
    </w:p>
    <w:p>
      <w:pPr>
        <w:pStyle w:val="14"/>
        <w:numPr>
          <w:ilvl w:val="255"/>
          <w:numId w:val="0"/>
        </w:numPr>
        <w:ind w:left="420"/>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设计各阶段图纸要求</w:t>
      </w:r>
    </w:p>
    <w:p>
      <w:pPr>
        <w:pStyle w:val="14"/>
        <w:numPr>
          <w:ilvl w:val="0"/>
          <w:numId w:val="23"/>
        </w:numPr>
        <w:ind w:firstLineChars="0"/>
        <w:rPr>
          <w:rFonts w:ascii="仿宋" w:hAnsi="仿宋" w:eastAsia="仿宋"/>
          <w:sz w:val="28"/>
          <w:szCs w:val="28"/>
        </w:rPr>
      </w:pPr>
      <w:r>
        <w:rPr>
          <w:rFonts w:hint="eastAsia" w:ascii="仿宋" w:hAnsi="仿宋" w:eastAsia="仿宋"/>
          <w:sz w:val="28"/>
          <w:szCs w:val="28"/>
        </w:rPr>
        <w:t>方案设计</w:t>
      </w:r>
    </w:p>
    <w:p>
      <w:pPr>
        <w:pStyle w:val="14"/>
        <w:numPr>
          <w:ilvl w:val="0"/>
          <w:numId w:val="24"/>
        </w:numPr>
        <w:ind w:firstLineChars="0"/>
        <w:rPr>
          <w:rFonts w:ascii="仿宋" w:hAnsi="仿宋" w:eastAsia="仿宋"/>
          <w:sz w:val="28"/>
          <w:szCs w:val="28"/>
        </w:rPr>
      </w:pPr>
      <w:r>
        <w:rPr>
          <w:rFonts w:hint="eastAsia" w:ascii="仿宋" w:hAnsi="仿宋" w:eastAsia="仿宋"/>
          <w:sz w:val="28"/>
          <w:szCs w:val="28"/>
        </w:rPr>
        <w:t>装修设计平面布局、天花布置、主要立面，主要包括装饰材料的选择及色彩的搭配等</w:t>
      </w:r>
    </w:p>
    <w:p>
      <w:pPr>
        <w:pStyle w:val="14"/>
        <w:numPr>
          <w:ilvl w:val="0"/>
          <w:numId w:val="24"/>
        </w:numPr>
        <w:ind w:firstLineChars="0"/>
        <w:rPr>
          <w:rFonts w:ascii="仿宋" w:hAnsi="仿宋" w:eastAsia="仿宋"/>
          <w:sz w:val="28"/>
          <w:szCs w:val="28"/>
        </w:rPr>
      </w:pPr>
      <w:r>
        <w:rPr>
          <w:rFonts w:hint="eastAsia" w:ascii="仿宋" w:hAnsi="仿宋" w:eastAsia="仿宋"/>
          <w:sz w:val="28"/>
          <w:szCs w:val="28"/>
        </w:rPr>
        <w:t>整体设计风格方案，并提供效果图</w:t>
      </w:r>
    </w:p>
    <w:p>
      <w:pPr>
        <w:pStyle w:val="14"/>
        <w:numPr>
          <w:ilvl w:val="0"/>
          <w:numId w:val="24"/>
        </w:numPr>
        <w:ind w:firstLineChars="0"/>
        <w:rPr>
          <w:rFonts w:ascii="仿宋" w:hAnsi="仿宋" w:eastAsia="仿宋"/>
          <w:sz w:val="28"/>
          <w:szCs w:val="28"/>
        </w:rPr>
      </w:pPr>
      <w:r>
        <w:rPr>
          <w:rFonts w:hint="eastAsia" w:ascii="仿宋" w:hAnsi="仿宋" w:eastAsia="仿宋"/>
          <w:sz w:val="28"/>
          <w:szCs w:val="28"/>
        </w:rPr>
        <w:t>设计方案应配有对方案设计内容具体解释的文字说明</w:t>
      </w:r>
    </w:p>
    <w:p>
      <w:pPr>
        <w:pStyle w:val="14"/>
        <w:numPr>
          <w:ilvl w:val="0"/>
          <w:numId w:val="24"/>
        </w:numPr>
        <w:ind w:firstLineChars="0"/>
        <w:rPr>
          <w:rFonts w:ascii="仿宋" w:hAnsi="仿宋" w:eastAsia="仿宋"/>
          <w:sz w:val="28"/>
          <w:szCs w:val="28"/>
        </w:rPr>
      </w:pPr>
      <w:r>
        <w:rPr>
          <w:rFonts w:hint="eastAsia" w:ascii="仿宋" w:hAnsi="仿宋" w:eastAsia="仿宋"/>
          <w:sz w:val="28"/>
          <w:szCs w:val="28"/>
        </w:rPr>
        <w:t>与水贝国际连接处、与珠宝大厦负一层B座电梯厅处、与珠宝大厦下沉区连接处、展厅卖场等每个区域应提供效果图。</w:t>
      </w:r>
    </w:p>
    <w:p>
      <w:pPr>
        <w:pStyle w:val="14"/>
        <w:numPr>
          <w:ilvl w:val="0"/>
          <w:numId w:val="23"/>
        </w:numPr>
        <w:ind w:firstLineChars="0"/>
        <w:rPr>
          <w:rFonts w:ascii="仿宋" w:hAnsi="仿宋" w:eastAsia="仿宋"/>
          <w:sz w:val="28"/>
          <w:szCs w:val="28"/>
        </w:rPr>
      </w:pPr>
      <w:r>
        <w:rPr>
          <w:rFonts w:hint="eastAsia" w:ascii="仿宋" w:hAnsi="仿宋" w:eastAsia="仿宋"/>
          <w:sz w:val="28"/>
          <w:szCs w:val="28"/>
        </w:rPr>
        <w:t>施工图设计</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施工图设计说明</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平、立、剖面及节点详图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综合吊顶详图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门窗图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地面铺装</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家具布置</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强弱电专业全套施工图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给排水专业全套施工图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暖通专业全套施工图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消防专业全套施工图</w:t>
      </w:r>
    </w:p>
    <w:p>
      <w:pPr>
        <w:pStyle w:val="14"/>
        <w:numPr>
          <w:ilvl w:val="0"/>
          <w:numId w:val="25"/>
        </w:numPr>
        <w:ind w:firstLineChars="0"/>
        <w:rPr>
          <w:rFonts w:ascii="仿宋" w:hAnsi="仿宋" w:eastAsia="仿宋"/>
          <w:sz w:val="28"/>
          <w:szCs w:val="28"/>
        </w:rPr>
      </w:pPr>
      <w:r>
        <w:rPr>
          <w:rFonts w:hint="eastAsia" w:ascii="仿宋" w:hAnsi="仿宋" w:eastAsia="仿宋"/>
          <w:sz w:val="28"/>
          <w:szCs w:val="28"/>
        </w:rPr>
        <w:t>物料清单</w:t>
      </w:r>
    </w:p>
    <w:p>
      <w:pPr>
        <w:pStyle w:val="14"/>
        <w:numPr>
          <w:ilvl w:val="0"/>
          <w:numId w:val="23"/>
        </w:numPr>
        <w:ind w:firstLineChars="0"/>
        <w:rPr>
          <w:rFonts w:ascii="仿宋" w:hAnsi="仿宋" w:eastAsia="仿宋"/>
          <w:sz w:val="28"/>
          <w:szCs w:val="28"/>
        </w:rPr>
      </w:pPr>
      <w:r>
        <w:rPr>
          <w:rFonts w:hint="eastAsia" w:ascii="仿宋" w:hAnsi="仿宋" w:eastAsia="仿宋"/>
          <w:sz w:val="28"/>
          <w:szCs w:val="28"/>
        </w:rPr>
        <w:t>设计选材方案</w:t>
      </w:r>
    </w:p>
    <w:p>
      <w:pPr>
        <w:pStyle w:val="14"/>
        <w:ind w:left="977" w:firstLine="0" w:firstLineChars="0"/>
        <w:rPr>
          <w:rFonts w:ascii="仿宋" w:hAnsi="仿宋" w:eastAsia="仿宋"/>
          <w:sz w:val="28"/>
          <w:szCs w:val="28"/>
        </w:rPr>
      </w:pPr>
      <w:r>
        <w:rPr>
          <w:rFonts w:hint="eastAsia" w:ascii="仿宋" w:hAnsi="仿宋" w:eastAsia="仿宋"/>
          <w:sz w:val="28"/>
          <w:szCs w:val="28"/>
        </w:rPr>
        <w:t>包含并不限于以下所选装饰、装饰主材的名称、品牌、规格、数量和价格等信息，并提供相关样板，样板上应标明以下内容。</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墙身饰面和颜色（材质和色板）</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地板饰面（地砖和石材样本）</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天花饰面和颜色（材质及色板）</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门身处理的颜色（材质和色板）</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固定家具（图纸或参照图片）</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门锁五金和其他配件（图纸或参照图片）</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灯具和开关插座（实物或图片）</w:t>
      </w:r>
    </w:p>
    <w:p>
      <w:pPr>
        <w:pStyle w:val="14"/>
        <w:numPr>
          <w:ilvl w:val="0"/>
          <w:numId w:val="26"/>
        </w:numPr>
        <w:ind w:firstLineChars="0"/>
        <w:rPr>
          <w:rFonts w:ascii="仿宋" w:hAnsi="仿宋" w:eastAsia="仿宋"/>
          <w:sz w:val="28"/>
          <w:szCs w:val="28"/>
        </w:rPr>
      </w:pPr>
      <w:r>
        <w:rPr>
          <w:rFonts w:hint="eastAsia" w:ascii="仿宋" w:hAnsi="仿宋" w:eastAsia="仿宋"/>
          <w:sz w:val="28"/>
          <w:szCs w:val="28"/>
        </w:rPr>
        <w:t>所有选材的材料清单、供货商资料</w:t>
      </w:r>
    </w:p>
    <w:p>
      <w:pPr>
        <w:pStyle w:val="14"/>
        <w:numPr>
          <w:ilvl w:val="0"/>
          <w:numId w:val="23"/>
        </w:numPr>
        <w:ind w:firstLineChars="0"/>
        <w:rPr>
          <w:rFonts w:ascii="仿宋" w:hAnsi="仿宋" w:eastAsia="仿宋"/>
          <w:sz w:val="28"/>
          <w:szCs w:val="28"/>
        </w:rPr>
      </w:pPr>
      <w:r>
        <w:rPr>
          <w:rFonts w:hint="eastAsia" w:ascii="仿宋" w:hAnsi="仿宋" w:eastAsia="仿宋"/>
          <w:sz w:val="28"/>
          <w:szCs w:val="28"/>
        </w:rPr>
        <w:t>各阶段成果包括但不限于：</w:t>
      </w: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74"/>
        <w:gridCol w:w="471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b/>
                <w:bCs/>
                <w:kern w:val="0"/>
                <w:sz w:val="24"/>
              </w:rPr>
            </w:pPr>
            <w:r>
              <w:rPr>
                <w:rFonts w:hint="eastAsia" w:ascii="宋体" w:hAnsi="宋体" w:eastAsia="宋体" w:cs="宋体"/>
                <w:b/>
                <w:bCs/>
                <w:kern w:val="0"/>
                <w:sz w:val="24"/>
              </w:rPr>
              <w:t>序号</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eastAsia="宋体" w:cs="宋体"/>
                <w:b/>
                <w:bCs/>
                <w:kern w:val="0"/>
                <w:sz w:val="24"/>
              </w:rPr>
              <w:t>设计阶段</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eastAsia="宋体" w:cs="宋体"/>
                <w:b/>
                <w:bCs/>
                <w:kern w:val="0"/>
                <w:sz w:val="24"/>
              </w:rPr>
              <w:t>设计成果内容</w:t>
            </w:r>
          </w:p>
        </w:tc>
        <w:tc>
          <w:tcPr>
            <w:tcW w:w="2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eastAsia="宋体" w:cs="宋体"/>
                <w:b/>
                <w:bCs/>
                <w:kern w:val="0"/>
                <w:sz w:val="24"/>
              </w:rPr>
              <w:t>提交数量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方案设计</w:t>
            </w:r>
          </w:p>
        </w:tc>
        <w:tc>
          <w:tcPr>
            <w:tcW w:w="4717" w:type="dxa"/>
            <w:tcBorders>
              <w:top w:val="single" w:color="auto" w:sz="4" w:space="0"/>
              <w:left w:val="single" w:color="auto" w:sz="4" w:space="0"/>
              <w:bottom w:val="single" w:color="auto" w:sz="4" w:space="0"/>
              <w:right w:val="single" w:color="auto" w:sz="4" w:space="0"/>
            </w:tcBorders>
            <w:vAlign w:val="center"/>
          </w:tcPr>
          <w:p>
            <w:pPr>
              <w:pStyle w:val="19"/>
              <w:numPr>
                <w:ilvl w:val="0"/>
                <w:numId w:val="27"/>
              </w:numPr>
              <w:ind w:firstLine="480"/>
              <w:rPr>
                <w:rFonts w:ascii="仿宋" w:hAnsi="仿宋" w:eastAsia="仿宋" w:cs="宋体"/>
                <w:sz w:val="24"/>
                <w:szCs w:val="24"/>
                <w:lang w:val="zh-CN"/>
              </w:rPr>
            </w:pPr>
            <w:r>
              <w:rPr>
                <w:rFonts w:hint="eastAsia" w:ascii="仿宋" w:hAnsi="仿宋" w:eastAsia="仿宋" w:cs="宋体"/>
                <w:sz w:val="24"/>
                <w:szCs w:val="24"/>
                <w:lang w:val="zh-CN"/>
              </w:rPr>
              <w:t>方案设计说明；</w:t>
            </w:r>
          </w:p>
          <w:p>
            <w:pPr>
              <w:pStyle w:val="19"/>
              <w:numPr>
                <w:ilvl w:val="0"/>
                <w:numId w:val="27"/>
              </w:numPr>
              <w:ind w:firstLine="480"/>
              <w:rPr>
                <w:rFonts w:ascii="仿宋" w:hAnsi="仿宋" w:eastAsia="仿宋" w:cs="宋体"/>
                <w:sz w:val="24"/>
                <w:szCs w:val="24"/>
                <w:lang w:val="zh-CN"/>
              </w:rPr>
            </w:pPr>
            <w:r>
              <w:rPr>
                <w:rFonts w:hint="eastAsia" w:ascii="仿宋" w:hAnsi="仿宋" w:eastAsia="仿宋" w:cs="宋体"/>
                <w:sz w:val="24"/>
                <w:szCs w:val="24"/>
                <w:lang w:val="zh-CN"/>
              </w:rPr>
              <w:t>方案结构及功能分析图；</w:t>
            </w:r>
          </w:p>
          <w:p>
            <w:pPr>
              <w:pStyle w:val="19"/>
              <w:numPr>
                <w:ilvl w:val="0"/>
                <w:numId w:val="27"/>
              </w:numPr>
              <w:ind w:firstLine="480"/>
              <w:rPr>
                <w:rFonts w:ascii="仿宋" w:hAnsi="仿宋" w:eastAsia="仿宋" w:cs="宋体"/>
                <w:sz w:val="24"/>
                <w:szCs w:val="24"/>
                <w:lang w:val="zh-CN"/>
              </w:rPr>
            </w:pPr>
            <w:r>
              <w:rPr>
                <w:rFonts w:hint="eastAsia" w:ascii="仿宋" w:hAnsi="仿宋" w:eastAsia="仿宋" w:cs="宋体"/>
                <w:sz w:val="24"/>
                <w:szCs w:val="24"/>
                <w:lang w:val="zh-CN"/>
              </w:rPr>
              <w:t>平面布置图；</w:t>
            </w:r>
          </w:p>
          <w:p>
            <w:pPr>
              <w:pStyle w:val="19"/>
              <w:numPr>
                <w:ilvl w:val="0"/>
                <w:numId w:val="27"/>
              </w:numPr>
              <w:ind w:firstLine="480"/>
              <w:rPr>
                <w:rFonts w:ascii="仿宋" w:hAnsi="仿宋" w:eastAsia="仿宋" w:cs="宋体"/>
                <w:sz w:val="24"/>
                <w:szCs w:val="24"/>
                <w:lang w:val="zh-CN"/>
              </w:rPr>
            </w:pPr>
            <w:r>
              <w:rPr>
                <w:rFonts w:hint="eastAsia" w:ascii="仿宋" w:hAnsi="仿宋" w:eastAsia="仿宋" w:cs="宋体"/>
                <w:sz w:val="24"/>
                <w:szCs w:val="24"/>
                <w:lang w:val="zh-CN"/>
              </w:rPr>
              <w:t>天花布置图</w:t>
            </w:r>
            <w:r>
              <w:rPr>
                <w:rFonts w:hint="eastAsia" w:ascii="仿宋" w:hAnsi="仿宋" w:eastAsia="仿宋" w:cs="宋体"/>
                <w:sz w:val="24"/>
                <w:szCs w:val="24"/>
              </w:rPr>
              <w:t>；</w:t>
            </w:r>
          </w:p>
          <w:p>
            <w:pPr>
              <w:pStyle w:val="19"/>
              <w:numPr>
                <w:ilvl w:val="0"/>
                <w:numId w:val="27"/>
              </w:numPr>
              <w:ind w:firstLine="480"/>
              <w:rPr>
                <w:rFonts w:ascii="仿宋" w:hAnsi="仿宋" w:eastAsia="仿宋" w:cs="宋体"/>
                <w:sz w:val="24"/>
                <w:szCs w:val="24"/>
                <w:lang w:val="zh-CN"/>
              </w:rPr>
            </w:pPr>
            <w:r>
              <w:rPr>
                <w:rFonts w:hint="eastAsia" w:ascii="仿宋" w:hAnsi="仿宋" w:eastAsia="仿宋" w:cs="宋体"/>
                <w:sz w:val="24"/>
                <w:szCs w:val="24"/>
              </w:rPr>
              <w:t>主要立面效果图；</w:t>
            </w:r>
          </w:p>
          <w:p>
            <w:pPr>
              <w:pStyle w:val="19"/>
              <w:numPr>
                <w:ilvl w:val="0"/>
                <w:numId w:val="27"/>
              </w:numPr>
              <w:ind w:firstLine="480"/>
              <w:rPr>
                <w:rFonts w:ascii="仿宋" w:hAnsi="仿宋" w:eastAsia="仿宋" w:cs="宋体"/>
                <w:sz w:val="24"/>
                <w:szCs w:val="24"/>
                <w:lang w:val="zh-CN"/>
              </w:rPr>
            </w:pPr>
            <w:r>
              <w:rPr>
                <w:rFonts w:hint="eastAsia" w:ascii="仿宋" w:hAnsi="仿宋" w:eastAsia="仿宋" w:cs="宋体"/>
                <w:sz w:val="24"/>
                <w:szCs w:val="24"/>
              </w:rPr>
              <w:t>主要空间效果图</w:t>
            </w:r>
          </w:p>
          <w:p>
            <w:pPr>
              <w:pStyle w:val="19"/>
              <w:numPr>
                <w:ilvl w:val="0"/>
                <w:numId w:val="27"/>
              </w:numPr>
              <w:ind w:firstLine="480"/>
              <w:rPr>
                <w:rFonts w:ascii="仿宋" w:hAnsi="仿宋" w:eastAsia="仿宋" w:cs="宋体"/>
                <w:sz w:val="24"/>
                <w:szCs w:val="24"/>
              </w:rPr>
            </w:pPr>
            <w:r>
              <w:rPr>
                <w:rFonts w:hint="eastAsia" w:ascii="仿宋" w:hAnsi="仿宋" w:eastAsia="仿宋" w:cs="宋体"/>
                <w:sz w:val="24"/>
                <w:szCs w:val="24"/>
              </w:rPr>
              <w:t>主要办公用品、灯具等软装布置图及参考图片。</w:t>
            </w:r>
          </w:p>
        </w:tc>
        <w:tc>
          <w:tcPr>
            <w:tcW w:w="2176" w:type="dxa"/>
            <w:tcBorders>
              <w:top w:val="single" w:color="auto" w:sz="4" w:space="0"/>
              <w:left w:val="single" w:color="auto" w:sz="4" w:space="0"/>
              <w:bottom w:val="single" w:color="auto" w:sz="4" w:space="0"/>
              <w:right w:val="single" w:color="auto" w:sz="4" w:space="0"/>
            </w:tcBorders>
            <w:vAlign w:val="center"/>
          </w:tcPr>
          <w:p>
            <w:pPr>
              <w:pStyle w:val="19"/>
              <w:widowControl/>
              <w:numPr>
                <w:ilvl w:val="0"/>
                <w:numId w:val="28"/>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A3规格文本图册</w:t>
            </w:r>
            <w:r>
              <w:rPr>
                <w:rFonts w:ascii="仿宋" w:hAnsi="仿宋" w:eastAsia="仿宋" w:cs="宋体"/>
                <w:kern w:val="0"/>
                <w:sz w:val="24"/>
                <w:szCs w:val="24"/>
              </w:rPr>
              <w:t>4</w:t>
            </w:r>
            <w:r>
              <w:rPr>
                <w:rFonts w:hint="eastAsia" w:ascii="仿宋" w:hAnsi="仿宋" w:eastAsia="仿宋" w:cs="宋体"/>
                <w:kern w:val="0"/>
                <w:sz w:val="24"/>
                <w:szCs w:val="24"/>
              </w:rPr>
              <w:t>套；</w:t>
            </w:r>
          </w:p>
          <w:p>
            <w:pPr>
              <w:pStyle w:val="19"/>
              <w:widowControl/>
              <w:numPr>
                <w:ilvl w:val="0"/>
                <w:numId w:val="28"/>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含所有内容的电子光盘2张；</w:t>
            </w:r>
          </w:p>
          <w:p>
            <w:pPr>
              <w:pStyle w:val="19"/>
              <w:widowControl/>
              <w:numPr>
                <w:ilvl w:val="0"/>
                <w:numId w:val="28"/>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A2规格效果图展板2套；</w:t>
            </w:r>
          </w:p>
          <w:p>
            <w:pPr>
              <w:pStyle w:val="19"/>
              <w:widowControl/>
              <w:tabs>
                <w:tab w:val="left" w:pos="397"/>
              </w:tabs>
              <w:ind w:firstLine="0" w:firstLineChars="0"/>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z w:val="24"/>
              </w:rPr>
            </w:pPr>
            <w:r>
              <w:rPr>
                <w:rFonts w:hint="eastAsia" w:ascii="仿宋" w:hAnsi="仿宋" w:eastAsia="仿宋" w:cs="宋体"/>
                <w:kern w:val="0"/>
                <w:sz w:val="24"/>
              </w:rPr>
              <w:t>施工图设计阶段</w:t>
            </w:r>
          </w:p>
        </w:tc>
        <w:tc>
          <w:tcPr>
            <w:tcW w:w="4717" w:type="dxa"/>
            <w:tcBorders>
              <w:top w:val="single" w:color="auto" w:sz="4" w:space="0"/>
              <w:left w:val="single" w:color="auto" w:sz="4" w:space="0"/>
              <w:bottom w:val="single" w:color="auto" w:sz="4" w:space="0"/>
              <w:right w:val="single" w:color="auto" w:sz="4" w:space="0"/>
            </w:tcBorders>
            <w:vAlign w:val="center"/>
          </w:tcPr>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施工图设计说明；</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材料</w:t>
            </w:r>
            <w:r>
              <w:rPr>
                <w:rFonts w:hint="eastAsia" w:ascii="仿宋" w:hAnsi="仿宋" w:eastAsia="仿宋" w:cs="宋体"/>
                <w:sz w:val="24"/>
                <w:szCs w:val="24"/>
                <w:lang w:val="zh-CN"/>
              </w:rPr>
              <w:t>和材料做法表；</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施工工艺说明；</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平面详图；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立面详图；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天花详图；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室内外灯光设计详图；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剖面详图；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节点详图；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门窗图；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强弱电专业全套施工图；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给排水专业全套施工图；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暖通专业全套施工图；</w:t>
            </w:r>
          </w:p>
          <w:p>
            <w:pPr>
              <w:pStyle w:val="19"/>
              <w:numPr>
                <w:ilvl w:val="0"/>
                <w:numId w:val="29"/>
              </w:numPr>
              <w:ind w:firstLine="480"/>
              <w:rPr>
                <w:rFonts w:ascii="仿宋" w:hAnsi="仿宋" w:eastAsia="仿宋" w:cs="宋体"/>
                <w:sz w:val="24"/>
                <w:szCs w:val="24"/>
              </w:rPr>
            </w:pPr>
            <w:r>
              <w:rPr>
                <w:rFonts w:ascii="仿宋" w:hAnsi="仿宋" w:eastAsia="仿宋" w:cs="宋体"/>
                <w:sz w:val="24"/>
                <w:szCs w:val="24"/>
              </w:rPr>
              <w:t>消防</w:t>
            </w:r>
            <w:r>
              <w:rPr>
                <w:rFonts w:hint="eastAsia" w:ascii="仿宋" w:hAnsi="仿宋" w:eastAsia="仿宋" w:cs="宋体"/>
                <w:sz w:val="24"/>
                <w:szCs w:val="24"/>
              </w:rPr>
              <w:t>专业全套施工图；</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洁具及五金设备选型；</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物料清单；</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材料样板；</w:t>
            </w:r>
          </w:p>
          <w:p>
            <w:pPr>
              <w:pStyle w:val="19"/>
              <w:numPr>
                <w:ilvl w:val="0"/>
                <w:numId w:val="29"/>
              </w:numPr>
              <w:ind w:firstLine="480"/>
              <w:rPr>
                <w:rFonts w:ascii="仿宋" w:hAnsi="仿宋" w:eastAsia="仿宋" w:cs="宋体"/>
                <w:sz w:val="24"/>
                <w:szCs w:val="24"/>
              </w:rPr>
            </w:pPr>
            <w:r>
              <w:rPr>
                <w:rFonts w:hint="eastAsia" w:ascii="仿宋" w:hAnsi="仿宋" w:eastAsia="仿宋" w:cs="宋体"/>
                <w:sz w:val="24"/>
                <w:szCs w:val="24"/>
              </w:rPr>
              <w:t>其它相关文件资料。</w:t>
            </w:r>
          </w:p>
        </w:tc>
        <w:tc>
          <w:tcPr>
            <w:tcW w:w="2176" w:type="dxa"/>
            <w:tcBorders>
              <w:top w:val="single" w:color="auto" w:sz="4" w:space="0"/>
              <w:left w:val="single" w:color="auto" w:sz="4" w:space="0"/>
              <w:bottom w:val="single" w:color="auto" w:sz="4" w:space="0"/>
              <w:right w:val="single" w:color="auto" w:sz="4" w:space="0"/>
            </w:tcBorders>
            <w:vAlign w:val="center"/>
          </w:tcPr>
          <w:p>
            <w:pPr>
              <w:pStyle w:val="19"/>
              <w:widowControl/>
              <w:numPr>
                <w:ilvl w:val="0"/>
                <w:numId w:val="30"/>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A2规格</w:t>
            </w:r>
            <w:r>
              <w:rPr>
                <w:rFonts w:hint="eastAsia" w:ascii="仿宋" w:hAnsi="仿宋" w:eastAsia="仿宋" w:cs="宋体"/>
                <w:sz w:val="24"/>
                <w:szCs w:val="24"/>
              </w:rPr>
              <w:t>（或加长）蓝图</w:t>
            </w:r>
            <w:r>
              <w:rPr>
                <w:rFonts w:ascii="仿宋" w:hAnsi="仿宋" w:eastAsia="仿宋" w:cs="宋体"/>
                <w:kern w:val="0"/>
                <w:sz w:val="24"/>
                <w:szCs w:val="24"/>
              </w:rPr>
              <w:t>8</w:t>
            </w:r>
            <w:r>
              <w:rPr>
                <w:rFonts w:hint="eastAsia" w:ascii="仿宋" w:hAnsi="仿宋" w:eastAsia="仿宋" w:cs="宋体"/>
                <w:kern w:val="0"/>
                <w:sz w:val="24"/>
                <w:szCs w:val="24"/>
              </w:rPr>
              <w:t>套；</w:t>
            </w:r>
          </w:p>
          <w:p>
            <w:pPr>
              <w:pStyle w:val="19"/>
              <w:widowControl/>
              <w:numPr>
                <w:ilvl w:val="0"/>
                <w:numId w:val="30"/>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含所有内容的电子光盘2张；</w:t>
            </w:r>
          </w:p>
          <w:p>
            <w:pPr>
              <w:pStyle w:val="19"/>
              <w:widowControl/>
              <w:numPr>
                <w:ilvl w:val="0"/>
                <w:numId w:val="30"/>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详细材料样板2份；</w:t>
            </w:r>
          </w:p>
          <w:p>
            <w:pPr>
              <w:pStyle w:val="19"/>
              <w:widowControl/>
              <w:numPr>
                <w:ilvl w:val="0"/>
                <w:numId w:val="30"/>
              </w:numPr>
              <w:tabs>
                <w:tab w:val="left" w:pos="397"/>
              </w:tabs>
              <w:ind w:firstLineChars="0"/>
              <w:jc w:val="left"/>
              <w:rPr>
                <w:rFonts w:ascii="仿宋" w:hAnsi="仿宋" w:eastAsia="仿宋" w:cs="宋体"/>
                <w:kern w:val="0"/>
                <w:sz w:val="24"/>
                <w:szCs w:val="24"/>
              </w:rPr>
            </w:pPr>
            <w:r>
              <w:rPr>
                <w:rFonts w:hint="eastAsia" w:ascii="仿宋" w:hAnsi="仿宋" w:eastAsia="仿宋" w:cs="宋体"/>
                <w:kern w:val="0"/>
                <w:sz w:val="24"/>
                <w:szCs w:val="24"/>
              </w:rPr>
              <w:t>物料清单</w:t>
            </w:r>
            <w:r>
              <w:rPr>
                <w:rFonts w:ascii="仿宋" w:hAnsi="仿宋" w:eastAsia="仿宋" w:cs="宋体"/>
                <w:kern w:val="0"/>
                <w:sz w:val="24"/>
                <w:szCs w:val="24"/>
              </w:rPr>
              <w:t>8</w:t>
            </w:r>
            <w:r>
              <w:rPr>
                <w:rFonts w:hint="eastAsia" w:ascii="仿宋" w:hAnsi="仿宋" w:eastAsia="仿宋" w:cs="宋体"/>
                <w:kern w:val="0"/>
                <w:sz w:val="24"/>
                <w:szCs w:val="24"/>
              </w:rPr>
              <w:t>套（含硬装和软装物料），A4规格装订成册。</w:t>
            </w:r>
          </w:p>
          <w:p>
            <w:pPr>
              <w:widowControl/>
              <w:jc w:val="left"/>
              <w:rPr>
                <w:rFonts w:ascii="仿宋" w:hAnsi="仿宋" w:eastAsia="仿宋" w:cs="宋体"/>
                <w:kern w:val="0"/>
                <w:sz w:val="24"/>
              </w:rPr>
            </w:pPr>
          </w:p>
        </w:tc>
      </w:tr>
    </w:tbl>
    <w:p>
      <w:pPr>
        <w:pStyle w:val="14"/>
        <w:ind w:left="1397" w:firstLine="0" w:firstLineChars="0"/>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施工配合</w:t>
      </w:r>
    </w:p>
    <w:p>
      <w:pPr>
        <w:pStyle w:val="14"/>
        <w:numPr>
          <w:ilvl w:val="0"/>
          <w:numId w:val="31"/>
        </w:numPr>
        <w:ind w:firstLineChars="0"/>
        <w:rPr>
          <w:rFonts w:ascii="仿宋" w:hAnsi="仿宋" w:eastAsia="仿宋"/>
          <w:sz w:val="28"/>
          <w:szCs w:val="28"/>
        </w:rPr>
      </w:pPr>
      <w:r>
        <w:rPr>
          <w:rFonts w:hint="eastAsia" w:ascii="仿宋" w:hAnsi="仿宋" w:eastAsia="仿宋"/>
          <w:sz w:val="28"/>
          <w:szCs w:val="28"/>
        </w:rPr>
        <w:t>配合施工单位进行技术交底，项目负责人应定期视察施工现场，根据进度安排相关设计人员及时解决、处理现场设计问题，并主动与甲方和施工单位保持联系，按时参加工地例会，解答与解决施工中发现的技术问题。</w:t>
      </w:r>
    </w:p>
    <w:p>
      <w:pPr>
        <w:pStyle w:val="14"/>
        <w:numPr>
          <w:ilvl w:val="0"/>
          <w:numId w:val="31"/>
        </w:numPr>
        <w:ind w:firstLineChars="0"/>
        <w:rPr>
          <w:rFonts w:ascii="仿宋" w:hAnsi="仿宋" w:eastAsia="仿宋"/>
          <w:sz w:val="28"/>
          <w:szCs w:val="28"/>
        </w:rPr>
      </w:pPr>
      <w:r>
        <w:rPr>
          <w:rFonts w:hint="eastAsia" w:ascii="仿宋" w:hAnsi="仿宋" w:eastAsia="仿宋"/>
          <w:sz w:val="28"/>
          <w:szCs w:val="28"/>
        </w:rPr>
        <w:t>设计图纸的错、漏和与施工现场有矛盾等情况必须在甲方指定的时间内无条件修改，对施工工艺提出改进建议。</w:t>
      </w:r>
    </w:p>
    <w:p>
      <w:pPr>
        <w:pStyle w:val="14"/>
        <w:numPr>
          <w:ilvl w:val="0"/>
          <w:numId w:val="31"/>
        </w:numPr>
        <w:ind w:firstLineChars="0"/>
        <w:rPr>
          <w:rFonts w:ascii="仿宋" w:hAnsi="仿宋" w:eastAsia="仿宋"/>
          <w:sz w:val="28"/>
          <w:szCs w:val="28"/>
        </w:rPr>
      </w:pPr>
      <w:r>
        <w:rPr>
          <w:rFonts w:hint="eastAsia" w:ascii="仿宋" w:hAnsi="仿宋" w:eastAsia="仿宋"/>
          <w:sz w:val="28"/>
          <w:szCs w:val="28"/>
        </w:rPr>
        <w:t>施工过程中及时发现问题，确保设计意图的实施，总体把控设计效果。</w:t>
      </w:r>
    </w:p>
    <w:p>
      <w:pPr>
        <w:pStyle w:val="14"/>
        <w:numPr>
          <w:ilvl w:val="0"/>
          <w:numId w:val="31"/>
        </w:numPr>
        <w:ind w:firstLineChars="0"/>
        <w:rPr>
          <w:rFonts w:ascii="仿宋" w:hAnsi="仿宋" w:eastAsia="仿宋"/>
          <w:sz w:val="28"/>
          <w:szCs w:val="28"/>
        </w:rPr>
      </w:pPr>
      <w:r>
        <w:rPr>
          <w:rFonts w:hint="eastAsia" w:ascii="仿宋" w:hAnsi="仿宋" w:eastAsia="仿宋"/>
          <w:sz w:val="28"/>
          <w:szCs w:val="28"/>
        </w:rPr>
        <w:t>图纸变更应确保各专业及时下发，避免因沟通不及时带来的返工和窝工，影响施工进度。</w:t>
      </w:r>
    </w:p>
    <w:p>
      <w:pPr>
        <w:pStyle w:val="14"/>
        <w:numPr>
          <w:ilvl w:val="0"/>
          <w:numId w:val="31"/>
        </w:numPr>
        <w:ind w:firstLineChars="0"/>
        <w:rPr>
          <w:rFonts w:ascii="仿宋" w:hAnsi="仿宋" w:eastAsia="仿宋"/>
          <w:sz w:val="28"/>
          <w:szCs w:val="28"/>
        </w:rPr>
      </w:pPr>
      <w:r>
        <w:rPr>
          <w:rFonts w:hint="eastAsia" w:ascii="仿宋" w:hAnsi="仿宋" w:eastAsia="仿宋"/>
          <w:sz w:val="28"/>
          <w:szCs w:val="28"/>
        </w:rPr>
        <w:t>配合甲方采购软装饰品及现场布置指导。</w:t>
      </w:r>
    </w:p>
    <w:p>
      <w:pPr>
        <w:pStyle w:val="14"/>
        <w:numPr>
          <w:ilvl w:val="0"/>
          <w:numId w:val="31"/>
        </w:numPr>
        <w:ind w:firstLineChars="0"/>
        <w:rPr>
          <w:rFonts w:ascii="仿宋" w:hAnsi="仿宋" w:eastAsia="仿宋"/>
          <w:sz w:val="28"/>
          <w:szCs w:val="28"/>
        </w:rPr>
      </w:pPr>
      <w:r>
        <w:rPr>
          <w:rFonts w:hint="eastAsia" w:ascii="仿宋" w:hAnsi="仿宋" w:eastAsia="仿宋"/>
          <w:sz w:val="28"/>
          <w:szCs w:val="28"/>
        </w:rPr>
        <w:t>配合相关报建及验收工作。</w:t>
      </w:r>
    </w:p>
    <w:p>
      <w:pPr>
        <w:pStyle w:val="14"/>
        <w:numPr>
          <w:ilvl w:val="255"/>
          <w:numId w:val="0"/>
        </w:numPr>
        <w:ind w:left="557"/>
        <w:rPr>
          <w:rFonts w:ascii="仿宋" w:hAnsi="仿宋" w:eastAsia="仿宋"/>
          <w:sz w:val="28"/>
          <w:szCs w:val="28"/>
        </w:rPr>
      </w:pPr>
    </w:p>
    <w:p>
      <w:pPr>
        <w:pStyle w:val="14"/>
        <w:numPr>
          <w:ilvl w:val="0"/>
          <w:numId w:val="17"/>
        </w:numPr>
        <w:ind w:firstLineChars="0"/>
        <w:rPr>
          <w:rFonts w:ascii="仿宋" w:hAnsi="仿宋" w:eastAsia="仿宋"/>
          <w:b/>
          <w:sz w:val="28"/>
          <w:szCs w:val="28"/>
        </w:rPr>
      </w:pPr>
      <w:r>
        <w:rPr>
          <w:rFonts w:hint="eastAsia" w:ascii="仿宋" w:hAnsi="仿宋" w:eastAsia="仿宋"/>
          <w:b/>
          <w:sz w:val="28"/>
          <w:szCs w:val="28"/>
        </w:rPr>
        <w:t>进度要求</w:t>
      </w:r>
    </w:p>
    <w:tbl>
      <w:tblPr>
        <w:tblStyle w:val="9"/>
        <w:tblW w:w="6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9"/>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436" w:type="dxa"/>
            <w:vAlign w:val="center"/>
          </w:tcPr>
          <w:p>
            <w:pPr>
              <w:widowControl/>
              <w:jc w:val="center"/>
              <w:rPr>
                <w:rFonts w:ascii="宋体" w:hAnsi="宋体" w:cs="宋体"/>
                <w:b/>
                <w:bCs/>
                <w:kern w:val="0"/>
              </w:rPr>
            </w:pPr>
            <w:r>
              <w:rPr>
                <w:rFonts w:hint="eastAsia" w:ascii="宋体" w:hAnsi="宋体" w:cs="宋体"/>
                <w:b/>
                <w:bCs/>
                <w:kern w:val="0"/>
              </w:rPr>
              <w:t>序号</w:t>
            </w:r>
          </w:p>
        </w:tc>
        <w:tc>
          <w:tcPr>
            <w:tcW w:w="1759" w:type="dxa"/>
            <w:vAlign w:val="center"/>
          </w:tcPr>
          <w:p>
            <w:pPr>
              <w:widowControl/>
              <w:jc w:val="center"/>
              <w:rPr>
                <w:rFonts w:ascii="宋体" w:hAnsi="宋体" w:cs="宋体"/>
                <w:b/>
                <w:bCs/>
                <w:kern w:val="0"/>
              </w:rPr>
            </w:pPr>
            <w:r>
              <w:rPr>
                <w:rFonts w:hint="eastAsia" w:ascii="宋体" w:hAnsi="宋体" w:cs="宋体"/>
                <w:b/>
                <w:bCs/>
                <w:kern w:val="0"/>
              </w:rPr>
              <w:t>阶段</w:t>
            </w:r>
          </w:p>
        </w:tc>
        <w:tc>
          <w:tcPr>
            <w:tcW w:w="4417" w:type="dxa"/>
            <w:vAlign w:val="center"/>
          </w:tcPr>
          <w:p>
            <w:pPr>
              <w:widowControl/>
              <w:jc w:val="center"/>
              <w:rPr>
                <w:rFonts w:ascii="宋体" w:hAnsi="宋体" w:cs="宋体"/>
                <w:b/>
                <w:bCs/>
                <w:kern w:val="0"/>
              </w:rPr>
            </w:pPr>
            <w:r>
              <w:rPr>
                <w:rFonts w:hint="eastAsia" w:ascii="宋体" w:hAnsi="宋体" w:cs="宋体"/>
                <w:b/>
                <w:bCs/>
                <w:kern w:val="0"/>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43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7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方案设计阶段</w:t>
            </w:r>
          </w:p>
        </w:tc>
        <w:tc>
          <w:tcPr>
            <w:tcW w:w="4417" w:type="dxa"/>
            <w:vAlign w:val="center"/>
          </w:tcPr>
          <w:p>
            <w:pPr>
              <w:widowControl/>
              <w:jc w:val="left"/>
              <w:rPr>
                <w:rFonts w:ascii="仿宋" w:hAnsi="仿宋" w:eastAsia="仿宋" w:cs="宋体"/>
                <w:kern w:val="0"/>
                <w:sz w:val="24"/>
              </w:rPr>
            </w:pPr>
            <w:r>
              <w:rPr>
                <w:rFonts w:hint="eastAsia" w:ascii="仿宋" w:hAnsi="仿宋" w:eastAsia="仿宋" w:cs="宋体"/>
                <w:kern w:val="0"/>
                <w:sz w:val="24"/>
              </w:rPr>
              <w:t>15天（自合同签订之日起算）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3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759" w:type="dxa"/>
            <w:vAlign w:val="center"/>
          </w:tcPr>
          <w:p>
            <w:pPr>
              <w:widowControl/>
              <w:jc w:val="center"/>
              <w:rPr>
                <w:rFonts w:ascii="仿宋" w:hAnsi="仿宋" w:eastAsia="仿宋" w:cs="宋体"/>
                <w:sz w:val="24"/>
              </w:rPr>
            </w:pPr>
            <w:r>
              <w:rPr>
                <w:rFonts w:hint="eastAsia" w:ascii="仿宋" w:hAnsi="仿宋" w:eastAsia="仿宋" w:cs="宋体"/>
                <w:kern w:val="0"/>
                <w:sz w:val="24"/>
              </w:rPr>
              <w:t>施工图设计阶段</w:t>
            </w:r>
          </w:p>
        </w:tc>
        <w:tc>
          <w:tcPr>
            <w:tcW w:w="4417" w:type="dxa"/>
            <w:vAlign w:val="center"/>
          </w:tcPr>
          <w:p>
            <w:pPr>
              <w:jc w:val="left"/>
              <w:rPr>
                <w:rFonts w:ascii="仿宋" w:hAnsi="仿宋" w:eastAsia="仿宋" w:cs="宋体"/>
                <w:sz w:val="24"/>
              </w:rPr>
            </w:pPr>
            <w:r>
              <w:rPr>
                <w:rFonts w:ascii="仿宋" w:hAnsi="仿宋" w:eastAsia="仿宋" w:cs="宋体"/>
                <w:kern w:val="0"/>
                <w:sz w:val="24"/>
              </w:rPr>
              <w:t>15</w:t>
            </w:r>
            <w:r>
              <w:rPr>
                <w:rFonts w:hint="eastAsia" w:ascii="仿宋" w:hAnsi="仿宋" w:eastAsia="仿宋" w:cs="宋体"/>
                <w:kern w:val="0"/>
                <w:sz w:val="24"/>
              </w:rPr>
              <w:t>天（自设计方案确认之日起算）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3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1759" w:type="dxa"/>
            <w:vAlign w:val="center"/>
          </w:tcPr>
          <w:p>
            <w:pPr>
              <w:widowControl/>
              <w:jc w:val="center"/>
              <w:rPr>
                <w:rFonts w:ascii="仿宋" w:hAnsi="仿宋" w:eastAsia="仿宋" w:cs="宋体"/>
                <w:kern w:val="0"/>
                <w:sz w:val="24"/>
              </w:rPr>
            </w:pPr>
            <w:r>
              <w:rPr>
                <w:rFonts w:hint="eastAsia" w:ascii="仿宋" w:hAnsi="仿宋" w:eastAsia="仿宋" w:cs="宋体"/>
                <w:sz w:val="24"/>
              </w:rPr>
              <w:t>施工阶段</w:t>
            </w:r>
          </w:p>
        </w:tc>
        <w:tc>
          <w:tcPr>
            <w:tcW w:w="4417" w:type="dxa"/>
            <w:vAlign w:val="center"/>
          </w:tcPr>
          <w:p>
            <w:pPr>
              <w:jc w:val="left"/>
              <w:rPr>
                <w:rFonts w:ascii="仿宋" w:hAnsi="仿宋" w:eastAsia="仿宋" w:cs="宋体"/>
                <w:sz w:val="24"/>
              </w:rPr>
            </w:pPr>
            <w:r>
              <w:rPr>
                <w:rFonts w:hint="eastAsia" w:ascii="仿宋" w:hAnsi="仿宋" w:eastAsia="仿宋" w:cs="宋体"/>
                <w:kern w:val="0"/>
                <w:sz w:val="24"/>
              </w:rPr>
              <w:t>接到问题2个工作日内解决问题，5个工作日内下发变更蓝图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36" w:type="dxa"/>
            <w:vAlign w:val="center"/>
          </w:tcPr>
          <w:p>
            <w:pPr>
              <w:widowControl/>
              <w:jc w:val="center"/>
              <w:rPr>
                <w:rFonts w:ascii="仿宋" w:hAnsi="仿宋" w:eastAsia="仿宋" w:cs="宋体"/>
                <w:kern w:val="0"/>
                <w:sz w:val="24"/>
                <w:highlight w:val="yellow"/>
              </w:rPr>
            </w:pPr>
            <w:r>
              <w:rPr>
                <w:rFonts w:hint="eastAsia" w:ascii="仿宋" w:hAnsi="仿宋" w:eastAsia="仿宋" w:cs="宋体"/>
                <w:kern w:val="0"/>
                <w:sz w:val="24"/>
              </w:rPr>
              <w:t>4</w:t>
            </w:r>
          </w:p>
        </w:tc>
        <w:tc>
          <w:tcPr>
            <w:tcW w:w="1759" w:type="dxa"/>
            <w:vAlign w:val="center"/>
          </w:tcPr>
          <w:p>
            <w:pPr>
              <w:widowControl/>
              <w:jc w:val="center"/>
              <w:rPr>
                <w:rFonts w:ascii="仿宋" w:hAnsi="仿宋" w:eastAsia="仿宋" w:cs="宋体"/>
                <w:sz w:val="24"/>
                <w:highlight w:val="yellow"/>
              </w:rPr>
            </w:pPr>
            <w:r>
              <w:rPr>
                <w:rFonts w:hint="eastAsia" w:ascii="仿宋" w:hAnsi="仿宋" w:eastAsia="仿宋" w:cs="宋体"/>
                <w:kern w:val="0"/>
                <w:sz w:val="24"/>
              </w:rPr>
              <w:t>竣工图</w:t>
            </w:r>
          </w:p>
        </w:tc>
        <w:tc>
          <w:tcPr>
            <w:tcW w:w="4417" w:type="dxa"/>
            <w:vAlign w:val="center"/>
          </w:tcPr>
          <w:p>
            <w:pPr>
              <w:jc w:val="left"/>
              <w:rPr>
                <w:rFonts w:ascii="仿宋" w:hAnsi="仿宋" w:eastAsia="仿宋" w:cs="宋体"/>
                <w:sz w:val="24"/>
                <w:highlight w:val="yellow"/>
              </w:rPr>
            </w:pPr>
            <w:r>
              <w:rPr>
                <w:rFonts w:hint="eastAsia" w:ascii="仿宋" w:hAnsi="仿宋" w:eastAsia="仿宋" w:cs="宋体"/>
                <w:kern w:val="0"/>
                <w:sz w:val="24"/>
              </w:rPr>
              <w:t>竣工验收后60天内配合完成审核竣工图</w:t>
            </w:r>
          </w:p>
        </w:tc>
      </w:tr>
    </w:tbl>
    <w:p>
      <w:pPr>
        <w:rPr>
          <w:rFonts w:ascii="仿宋" w:hAnsi="仿宋" w:eastAsia="仿宋"/>
          <w:b/>
          <w:sz w:val="28"/>
          <w:szCs w:val="28"/>
        </w:rPr>
      </w:pPr>
    </w:p>
    <w:p>
      <w:pPr>
        <w:widowControl/>
        <w:jc w:val="left"/>
        <w:rPr>
          <w:rFonts w:ascii="仿宋" w:hAnsi="仿宋" w:eastAsia="仿宋"/>
          <w:b/>
          <w:sz w:val="28"/>
          <w:szCs w:val="28"/>
        </w:rPr>
      </w:pPr>
    </w:p>
    <w:p>
      <w:pPr>
        <w:ind w:firstLine="560" w:firstLineChars="200"/>
        <w:rPr>
          <w:rFonts w:asciiTheme="minorEastAsia" w:hAnsiTheme="minorEastAsia" w:cs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110293"/>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8D27D"/>
    <w:multiLevelType w:val="singleLevel"/>
    <w:tmpl w:val="8438D27D"/>
    <w:lvl w:ilvl="0" w:tentative="0">
      <w:start w:val="1"/>
      <w:numFmt w:val="decimal"/>
      <w:lvlText w:val="%1."/>
      <w:lvlJc w:val="left"/>
      <w:pPr>
        <w:tabs>
          <w:tab w:val="left" w:pos="312"/>
        </w:tabs>
        <w:ind w:left="0" w:firstLine="0"/>
      </w:pPr>
    </w:lvl>
  </w:abstractNum>
  <w:abstractNum w:abstractNumId="1">
    <w:nsid w:val="9E09A58E"/>
    <w:multiLevelType w:val="multilevel"/>
    <w:tmpl w:val="9E09A58E"/>
    <w:lvl w:ilvl="0" w:tentative="0">
      <w:start w:val="8"/>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B65F418A"/>
    <w:multiLevelType w:val="singleLevel"/>
    <w:tmpl w:val="B65F418A"/>
    <w:lvl w:ilvl="0" w:tentative="0">
      <w:start w:val="1"/>
      <w:numFmt w:val="chineseCounting"/>
      <w:suff w:val="nothing"/>
      <w:lvlText w:val="（%1）"/>
      <w:lvlJc w:val="left"/>
      <w:pPr>
        <w:ind w:left="0" w:firstLine="420"/>
      </w:pPr>
      <w:rPr>
        <w:rFonts w:hint="eastAsia"/>
      </w:rPr>
    </w:lvl>
  </w:abstractNum>
  <w:abstractNum w:abstractNumId="3">
    <w:nsid w:val="B744EFA0"/>
    <w:multiLevelType w:val="singleLevel"/>
    <w:tmpl w:val="B744EFA0"/>
    <w:lvl w:ilvl="0" w:tentative="0">
      <w:start w:val="1"/>
      <w:numFmt w:val="decimal"/>
      <w:lvlText w:val="(%1)"/>
      <w:lvlJc w:val="left"/>
      <w:pPr>
        <w:ind w:left="425" w:hanging="425"/>
      </w:pPr>
      <w:rPr>
        <w:rFonts w:hint="default"/>
      </w:rPr>
    </w:lvl>
  </w:abstractNum>
  <w:abstractNum w:abstractNumId="4">
    <w:nsid w:val="B9A28ACA"/>
    <w:multiLevelType w:val="singleLevel"/>
    <w:tmpl w:val="B9A28ACA"/>
    <w:lvl w:ilvl="0" w:tentative="0">
      <w:start w:val="1"/>
      <w:numFmt w:val="chineseCounting"/>
      <w:suff w:val="nothing"/>
      <w:lvlText w:val="（%1）"/>
      <w:lvlJc w:val="left"/>
      <w:pPr>
        <w:ind w:left="0" w:firstLine="420"/>
      </w:pPr>
      <w:rPr>
        <w:rFonts w:hint="eastAsia"/>
        <w:color w:val="auto"/>
      </w:rPr>
    </w:lvl>
  </w:abstractNum>
  <w:abstractNum w:abstractNumId="5">
    <w:nsid w:val="BBA85F05"/>
    <w:multiLevelType w:val="multilevel"/>
    <w:tmpl w:val="BBA85F05"/>
    <w:lvl w:ilvl="0" w:tentative="0">
      <w:start w:val="7"/>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BDC319F3"/>
    <w:multiLevelType w:val="singleLevel"/>
    <w:tmpl w:val="BDC319F3"/>
    <w:lvl w:ilvl="0" w:tentative="0">
      <w:start w:val="1"/>
      <w:numFmt w:val="lowerLetter"/>
      <w:lvlText w:val="%1."/>
      <w:lvlJc w:val="left"/>
      <w:pPr>
        <w:tabs>
          <w:tab w:val="left" w:pos="420"/>
        </w:tabs>
        <w:ind w:left="425" w:hanging="425"/>
      </w:pPr>
    </w:lvl>
  </w:abstractNum>
  <w:abstractNum w:abstractNumId="7">
    <w:nsid w:val="C10CCED6"/>
    <w:multiLevelType w:val="multilevel"/>
    <w:tmpl w:val="C10CCED6"/>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EBFCD67B"/>
    <w:multiLevelType w:val="multilevel"/>
    <w:tmpl w:val="EBFCD67B"/>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10">
    <w:nsid w:val="FEC4FC03"/>
    <w:multiLevelType w:val="singleLevel"/>
    <w:tmpl w:val="FEC4FC03"/>
    <w:lvl w:ilvl="0" w:tentative="0">
      <w:start w:val="1"/>
      <w:numFmt w:val="decimal"/>
      <w:lvlText w:val="(%1)"/>
      <w:lvlJc w:val="left"/>
      <w:pPr>
        <w:ind w:left="425" w:hanging="425"/>
      </w:pPr>
      <w:rPr>
        <w:rFonts w:hint="default"/>
      </w:rPr>
    </w:lvl>
  </w:abstractNum>
  <w:abstractNum w:abstractNumId="11">
    <w:nsid w:val="06772C2E"/>
    <w:multiLevelType w:val="multilevel"/>
    <w:tmpl w:val="06772C2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06FB06E7"/>
    <w:multiLevelType w:val="multilevel"/>
    <w:tmpl w:val="06FB06E7"/>
    <w:lvl w:ilvl="0" w:tentative="0">
      <w:start w:val="1"/>
      <w:numFmt w:val="decimal"/>
      <w:lvlText w:val="%1)"/>
      <w:lvlJc w:val="left"/>
      <w:pPr>
        <w:ind w:left="1540" w:hanging="420"/>
      </w:p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13">
    <w:nsid w:val="0E3D0176"/>
    <w:multiLevelType w:val="multilevel"/>
    <w:tmpl w:val="0E3D0176"/>
    <w:lvl w:ilvl="0" w:tentative="0">
      <w:start w:val="5"/>
      <w:numFmt w:val="decimal"/>
      <w:lvlText w:val="%1."/>
      <w:lvlJc w:val="left"/>
      <w:pPr>
        <w:ind w:left="425" w:hanging="425"/>
      </w:pPr>
      <w:rPr>
        <w:rFonts w:hint="default"/>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0E614A21"/>
    <w:multiLevelType w:val="multilevel"/>
    <w:tmpl w:val="0E614A21"/>
    <w:lvl w:ilvl="0" w:tentative="0">
      <w:start w:val="1"/>
      <w:numFmt w:val="decimal"/>
      <w:lvlText w:val="%1)"/>
      <w:lvlJc w:val="left"/>
      <w:pPr>
        <w:ind w:left="1397" w:hanging="420"/>
      </w:pPr>
    </w:lvl>
    <w:lvl w:ilvl="1" w:tentative="0">
      <w:start w:val="1"/>
      <w:numFmt w:val="lowerLetter"/>
      <w:lvlText w:val="%2)"/>
      <w:lvlJc w:val="left"/>
      <w:pPr>
        <w:ind w:left="1817" w:hanging="420"/>
      </w:pPr>
    </w:lvl>
    <w:lvl w:ilvl="2" w:tentative="0">
      <w:start w:val="1"/>
      <w:numFmt w:val="lowerRoman"/>
      <w:lvlText w:val="%3."/>
      <w:lvlJc w:val="right"/>
      <w:pPr>
        <w:ind w:left="2237" w:hanging="420"/>
      </w:pPr>
    </w:lvl>
    <w:lvl w:ilvl="3" w:tentative="0">
      <w:start w:val="1"/>
      <w:numFmt w:val="decimal"/>
      <w:lvlText w:val="%4."/>
      <w:lvlJc w:val="left"/>
      <w:pPr>
        <w:ind w:left="2657" w:hanging="420"/>
      </w:pPr>
    </w:lvl>
    <w:lvl w:ilvl="4" w:tentative="0">
      <w:start w:val="1"/>
      <w:numFmt w:val="lowerLetter"/>
      <w:lvlText w:val="%5)"/>
      <w:lvlJc w:val="left"/>
      <w:pPr>
        <w:ind w:left="3077" w:hanging="420"/>
      </w:pPr>
    </w:lvl>
    <w:lvl w:ilvl="5" w:tentative="0">
      <w:start w:val="1"/>
      <w:numFmt w:val="lowerRoman"/>
      <w:lvlText w:val="%6."/>
      <w:lvlJc w:val="right"/>
      <w:pPr>
        <w:ind w:left="3497" w:hanging="420"/>
      </w:pPr>
    </w:lvl>
    <w:lvl w:ilvl="6" w:tentative="0">
      <w:start w:val="1"/>
      <w:numFmt w:val="decimal"/>
      <w:lvlText w:val="%7."/>
      <w:lvlJc w:val="left"/>
      <w:pPr>
        <w:ind w:left="3917" w:hanging="420"/>
      </w:pPr>
    </w:lvl>
    <w:lvl w:ilvl="7" w:tentative="0">
      <w:start w:val="1"/>
      <w:numFmt w:val="lowerLetter"/>
      <w:lvlText w:val="%8)"/>
      <w:lvlJc w:val="left"/>
      <w:pPr>
        <w:ind w:left="4337" w:hanging="420"/>
      </w:pPr>
    </w:lvl>
    <w:lvl w:ilvl="8" w:tentative="0">
      <w:start w:val="1"/>
      <w:numFmt w:val="lowerRoman"/>
      <w:lvlText w:val="%9."/>
      <w:lvlJc w:val="right"/>
      <w:pPr>
        <w:ind w:left="4757" w:hanging="420"/>
      </w:pPr>
    </w:lvl>
  </w:abstractNum>
  <w:abstractNum w:abstractNumId="15">
    <w:nsid w:val="15522890"/>
    <w:multiLevelType w:val="multilevel"/>
    <w:tmpl w:val="15522890"/>
    <w:lvl w:ilvl="0" w:tentative="0">
      <w:start w:val="1"/>
      <w:numFmt w:val="decimal"/>
      <w:lvlText w:val="%1)"/>
      <w:lvlJc w:val="left"/>
      <w:pPr>
        <w:ind w:left="1540" w:hanging="420"/>
      </w:p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16">
    <w:nsid w:val="15BC0238"/>
    <w:multiLevelType w:val="multilevel"/>
    <w:tmpl w:val="15BC023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1EC580A7"/>
    <w:multiLevelType w:val="singleLevel"/>
    <w:tmpl w:val="1EC580A7"/>
    <w:lvl w:ilvl="0" w:tentative="0">
      <w:start w:val="1"/>
      <w:numFmt w:val="lowerLetter"/>
      <w:lvlText w:val="%1."/>
      <w:lvlJc w:val="left"/>
      <w:pPr>
        <w:tabs>
          <w:tab w:val="left" w:pos="420"/>
        </w:tabs>
        <w:ind w:left="425" w:hanging="425"/>
      </w:pPr>
    </w:lvl>
  </w:abstractNum>
  <w:abstractNum w:abstractNumId="18">
    <w:nsid w:val="309804B0"/>
    <w:multiLevelType w:val="multilevel"/>
    <w:tmpl w:val="309804B0"/>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34F73926"/>
    <w:multiLevelType w:val="singleLevel"/>
    <w:tmpl w:val="34F73926"/>
    <w:lvl w:ilvl="0" w:tentative="0">
      <w:start w:val="1"/>
      <w:numFmt w:val="chineseCounting"/>
      <w:suff w:val="nothing"/>
      <w:lvlText w:val="%1、"/>
      <w:lvlJc w:val="left"/>
      <w:pPr>
        <w:ind w:left="-10"/>
      </w:pPr>
      <w:rPr>
        <w:rFonts w:hint="eastAsia"/>
      </w:rPr>
    </w:lvl>
  </w:abstractNum>
  <w:abstractNum w:abstractNumId="20">
    <w:nsid w:val="356C3343"/>
    <w:multiLevelType w:val="multilevel"/>
    <w:tmpl w:val="356C334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136A2F1"/>
    <w:multiLevelType w:val="multilevel"/>
    <w:tmpl w:val="4136A2F1"/>
    <w:lvl w:ilvl="0" w:tentative="0">
      <w:start w:val="4"/>
      <w:numFmt w:val="decimal"/>
      <w:lvlText w:val="%1."/>
      <w:lvlJc w:val="left"/>
      <w:pPr>
        <w:ind w:left="425" w:hanging="425"/>
      </w:pPr>
      <w:rPr>
        <w:rFonts w:hint="default"/>
      </w:rPr>
    </w:lvl>
    <w:lvl w:ilvl="1" w:tentative="0">
      <w:start w:val="2"/>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448A2E3D"/>
    <w:multiLevelType w:val="multilevel"/>
    <w:tmpl w:val="448A2E3D"/>
    <w:lvl w:ilvl="0" w:tentative="0">
      <w:start w:val="1"/>
      <w:numFmt w:val="japaneseCounting"/>
      <w:lvlText w:val="第%1条"/>
      <w:lvlJc w:val="left"/>
      <w:pPr>
        <w:tabs>
          <w:tab w:val="left" w:pos="960"/>
        </w:tabs>
        <w:ind w:left="960" w:hanging="9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japaneseCounting"/>
      <w:lvlText w:val="%4、"/>
      <w:lvlJc w:val="left"/>
      <w:pPr>
        <w:tabs>
          <w:tab w:val="left" w:pos="1740"/>
        </w:tabs>
        <w:ind w:left="1740" w:hanging="48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65A3E88"/>
    <w:multiLevelType w:val="multilevel"/>
    <w:tmpl w:val="465A3E88"/>
    <w:lvl w:ilvl="0" w:tentative="0">
      <w:start w:val="1"/>
      <w:numFmt w:val="decimal"/>
      <w:lvlText w:val="%1."/>
      <w:lvlJc w:val="left"/>
      <w:pPr>
        <w:ind w:left="977" w:hanging="420"/>
      </w:pPr>
      <w:rPr>
        <w:rFonts w:hint="eastAsia"/>
      </w:r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24">
    <w:nsid w:val="5232499F"/>
    <w:multiLevelType w:val="multilevel"/>
    <w:tmpl w:val="5232499F"/>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57203459"/>
    <w:multiLevelType w:val="multilevel"/>
    <w:tmpl w:val="5720345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68F0EBAB"/>
    <w:multiLevelType w:val="multilevel"/>
    <w:tmpl w:val="68F0EBA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7">
    <w:nsid w:val="695AC7A1"/>
    <w:multiLevelType w:val="singleLevel"/>
    <w:tmpl w:val="695AC7A1"/>
    <w:lvl w:ilvl="0" w:tentative="0">
      <w:start w:val="1"/>
      <w:numFmt w:val="decimal"/>
      <w:lvlText w:val="%1."/>
      <w:lvlJc w:val="left"/>
      <w:pPr>
        <w:tabs>
          <w:tab w:val="left" w:pos="312"/>
        </w:tabs>
        <w:ind w:left="0" w:firstLine="0"/>
      </w:pPr>
    </w:lvl>
  </w:abstractNum>
  <w:abstractNum w:abstractNumId="28">
    <w:nsid w:val="6B741D28"/>
    <w:multiLevelType w:val="multilevel"/>
    <w:tmpl w:val="6B741D28"/>
    <w:lvl w:ilvl="0" w:tentative="0">
      <w:start w:val="1"/>
      <w:numFmt w:val="decimal"/>
      <w:lvlText w:val="%1."/>
      <w:lvlJc w:val="left"/>
      <w:pPr>
        <w:ind w:left="977" w:hanging="420"/>
      </w:pPr>
    </w:lvl>
    <w:lvl w:ilvl="1" w:tentative="0">
      <w:start w:val="1"/>
      <w:numFmt w:val="lowerLetter"/>
      <w:lvlText w:val="%2)"/>
      <w:lvlJc w:val="left"/>
      <w:pPr>
        <w:ind w:left="1397" w:hanging="420"/>
      </w:pPr>
    </w:lvl>
    <w:lvl w:ilvl="2" w:tentative="0">
      <w:start w:val="1"/>
      <w:numFmt w:val="lowerRoman"/>
      <w:lvlText w:val="%3."/>
      <w:lvlJc w:val="right"/>
      <w:pPr>
        <w:ind w:left="1817" w:hanging="420"/>
      </w:pPr>
    </w:lvl>
    <w:lvl w:ilvl="3" w:tentative="0">
      <w:start w:val="1"/>
      <w:numFmt w:val="decimal"/>
      <w:lvlText w:val="%4."/>
      <w:lvlJc w:val="left"/>
      <w:pPr>
        <w:ind w:left="2237" w:hanging="420"/>
      </w:pPr>
    </w:lvl>
    <w:lvl w:ilvl="4" w:tentative="0">
      <w:start w:val="1"/>
      <w:numFmt w:val="lowerLetter"/>
      <w:lvlText w:val="%5)"/>
      <w:lvlJc w:val="left"/>
      <w:pPr>
        <w:ind w:left="2657" w:hanging="420"/>
      </w:pPr>
    </w:lvl>
    <w:lvl w:ilvl="5" w:tentative="0">
      <w:start w:val="1"/>
      <w:numFmt w:val="lowerRoman"/>
      <w:lvlText w:val="%6."/>
      <w:lvlJc w:val="right"/>
      <w:pPr>
        <w:ind w:left="3077" w:hanging="420"/>
      </w:pPr>
    </w:lvl>
    <w:lvl w:ilvl="6" w:tentative="0">
      <w:start w:val="1"/>
      <w:numFmt w:val="decimal"/>
      <w:lvlText w:val="%7."/>
      <w:lvlJc w:val="left"/>
      <w:pPr>
        <w:ind w:left="3497" w:hanging="420"/>
      </w:pPr>
    </w:lvl>
    <w:lvl w:ilvl="7" w:tentative="0">
      <w:start w:val="1"/>
      <w:numFmt w:val="lowerLetter"/>
      <w:lvlText w:val="%8)"/>
      <w:lvlJc w:val="left"/>
      <w:pPr>
        <w:ind w:left="3917" w:hanging="420"/>
      </w:pPr>
    </w:lvl>
    <w:lvl w:ilvl="8" w:tentative="0">
      <w:start w:val="1"/>
      <w:numFmt w:val="lowerRoman"/>
      <w:lvlText w:val="%9."/>
      <w:lvlJc w:val="right"/>
      <w:pPr>
        <w:ind w:left="4337" w:hanging="420"/>
      </w:pPr>
    </w:lvl>
  </w:abstractNum>
  <w:abstractNum w:abstractNumId="29">
    <w:nsid w:val="727B3C32"/>
    <w:multiLevelType w:val="multilevel"/>
    <w:tmpl w:val="727B3C3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7D0A3222"/>
    <w:multiLevelType w:val="multilevel"/>
    <w:tmpl w:val="7D0A322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9"/>
  </w:num>
  <w:num w:numId="2">
    <w:abstractNumId w:val="2"/>
  </w:num>
  <w:num w:numId="3">
    <w:abstractNumId w:val="4"/>
  </w:num>
  <w:num w:numId="4">
    <w:abstractNumId w:val="9"/>
  </w:num>
  <w:num w:numId="5">
    <w:abstractNumId w:val="22"/>
  </w:num>
  <w:num w:numId="6">
    <w:abstractNumId w:val="26"/>
  </w:num>
  <w:num w:numId="7">
    <w:abstractNumId w:val="8"/>
  </w:num>
  <w:num w:numId="8">
    <w:abstractNumId w:val="7"/>
  </w:num>
  <w:num w:numId="9">
    <w:abstractNumId w:val="21"/>
  </w:num>
  <w:num w:numId="10">
    <w:abstractNumId w:val="18"/>
  </w:num>
  <w:num w:numId="11">
    <w:abstractNumId w:val="13"/>
  </w:num>
  <w:num w:numId="12">
    <w:abstractNumId w:val="3"/>
  </w:num>
  <w:num w:numId="13">
    <w:abstractNumId w:val="24"/>
  </w:num>
  <w:num w:numId="14">
    <w:abstractNumId w:val="10"/>
  </w:num>
  <w:num w:numId="15">
    <w:abstractNumId w:val="5"/>
  </w:num>
  <w:num w:numId="16">
    <w:abstractNumId w:val="1"/>
  </w:num>
  <w:num w:numId="17">
    <w:abstractNumId w:val="20"/>
  </w:num>
  <w:num w:numId="18">
    <w:abstractNumId w:val="30"/>
  </w:num>
  <w:num w:numId="19">
    <w:abstractNumId w:val="25"/>
  </w:num>
  <w:num w:numId="20">
    <w:abstractNumId w:val="29"/>
  </w:num>
  <w:num w:numId="21">
    <w:abstractNumId w:val="16"/>
  </w:num>
  <w:num w:numId="22">
    <w:abstractNumId w:val="11"/>
  </w:num>
  <w:num w:numId="23">
    <w:abstractNumId w:val="28"/>
  </w:num>
  <w:num w:numId="24">
    <w:abstractNumId w:val="15"/>
  </w:num>
  <w:num w:numId="25">
    <w:abstractNumId w:val="12"/>
  </w:num>
  <w:num w:numId="26">
    <w:abstractNumId w:val="14"/>
  </w:num>
  <w:num w:numId="27">
    <w:abstractNumId w:val="6"/>
    <w:lvlOverride w:ilvl="0">
      <w:startOverride w:val="1"/>
    </w:lvlOverride>
  </w:num>
  <w:num w:numId="28">
    <w:abstractNumId w:val="27"/>
    <w:lvlOverride w:ilvl="0">
      <w:startOverride w:val="1"/>
    </w:lvlOverride>
  </w:num>
  <w:num w:numId="29">
    <w:abstractNumId w:val="17"/>
    <w:lvlOverride w:ilvl="0">
      <w:startOverride w:val="1"/>
    </w:lvlOverride>
  </w:num>
  <w:num w:numId="30">
    <w:abstractNumId w:val="0"/>
    <w:lvlOverride w:ilvl="0">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mYjIyMzAxNjQ3OTgyNDUzN2M4NDdjOGU4ODk2N2QifQ=="/>
  </w:docVars>
  <w:rsids>
    <w:rsidRoot w:val="18817398"/>
    <w:rsid w:val="0000188C"/>
    <w:rsid w:val="00005D12"/>
    <w:rsid w:val="0001392F"/>
    <w:rsid w:val="000208A0"/>
    <w:rsid w:val="00021C2B"/>
    <w:rsid w:val="00051897"/>
    <w:rsid w:val="00054A74"/>
    <w:rsid w:val="00057B7C"/>
    <w:rsid w:val="000D22DA"/>
    <w:rsid w:val="000E74AE"/>
    <w:rsid w:val="00116F4B"/>
    <w:rsid w:val="0013201F"/>
    <w:rsid w:val="0013294C"/>
    <w:rsid w:val="00171699"/>
    <w:rsid w:val="00185078"/>
    <w:rsid w:val="00190C99"/>
    <w:rsid w:val="001E5A36"/>
    <w:rsid w:val="001E7BA2"/>
    <w:rsid w:val="001F00D3"/>
    <w:rsid w:val="0020245C"/>
    <w:rsid w:val="00210DFF"/>
    <w:rsid w:val="002274F5"/>
    <w:rsid w:val="002348E0"/>
    <w:rsid w:val="00235387"/>
    <w:rsid w:val="002366DB"/>
    <w:rsid w:val="00250BFD"/>
    <w:rsid w:val="00255FB5"/>
    <w:rsid w:val="002612B0"/>
    <w:rsid w:val="0027225D"/>
    <w:rsid w:val="00273701"/>
    <w:rsid w:val="00294C94"/>
    <w:rsid w:val="002D65E1"/>
    <w:rsid w:val="00316995"/>
    <w:rsid w:val="003209B3"/>
    <w:rsid w:val="003B4C6D"/>
    <w:rsid w:val="003C16BC"/>
    <w:rsid w:val="003C2FA1"/>
    <w:rsid w:val="00402503"/>
    <w:rsid w:val="00404459"/>
    <w:rsid w:val="0042162E"/>
    <w:rsid w:val="00463D47"/>
    <w:rsid w:val="004755BB"/>
    <w:rsid w:val="004940C5"/>
    <w:rsid w:val="004B0B56"/>
    <w:rsid w:val="004D27FE"/>
    <w:rsid w:val="004D5554"/>
    <w:rsid w:val="004D7603"/>
    <w:rsid w:val="004E3A29"/>
    <w:rsid w:val="0050487B"/>
    <w:rsid w:val="00540BBE"/>
    <w:rsid w:val="00550F2F"/>
    <w:rsid w:val="00554EAE"/>
    <w:rsid w:val="00581731"/>
    <w:rsid w:val="00597747"/>
    <w:rsid w:val="005C45B1"/>
    <w:rsid w:val="005F4BFD"/>
    <w:rsid w:val="00606E77"/>
    <w:rsid w:val="006202BA"/>
    <w:rsid w:val="006448EC"/>
    <w:rsid w:val="00664EE8"/>
    <w:rsid w:val="00670F97"/>
    <w:rsid w:val="0070083A"/>
    <w:rsid w:val="0073346F"/>
    <w:rsid w:val="00742FA4"/>
    <w:rsid w:val="00744E9F"/>
    <w:rsid w:val="007464D0"/>
    <w:rsid w:val="0074735E"/>
    <w:rsid w:val="00767077"/>
    <w:rsid w:val="00774F4F"/>
    <w:rsid w:val="007A5C5B"/>
    <w:rsid w:val="007A73E3"/>
    <w:rsid w:val="007B2C44"/>
    <w:rsid w:val="007C28BE"/>
    <w:rsid w:val="00833451"/>
    <w:rsid w:val="00862924"/>
    <w:rsid w:val="008F28B7"/>
    <w:rsid w:val="009064C1"/>
    <w:rsid w:val="009348BB"/>
    <w:rsid w:val="009375E4"/>
    <w:rsid w:val="00960B6B"/>
    <w:rsid w:val="009715D2"/>
    <w:rsid w:val="00985641"/>
    <w:rsid w:val="009B7C63"/>
    <w:rsid w:val="009E4F07"/>
    <w:rsid w:val="00A06F27"/>
    <w:rsid w:val="00A11DB4"/>
    <w:rsid w:val="00A131CF"/>
    <w:rsid w:val="00A139C3"/>
    <w:rsid w:val="00A52DFB"/>
    <w:rsid w:val="00A57EE2"/>
    <w:rsid w:val="00A8694B"/>
    <w:rsid w:val="00A91A59"/>
    <w:rsid w:val="00AC4AA2"/>
    <w:rsid w:val="00AE7AB3"/>
    <w:rsid w:val="00B01385"/>
    <w:rsid w:val="00B07B7C"/>
    <w:rsid w:val="00B117BC"/>
    <w:rsid w:val="00B134E6"/>
    <w:rsid w:val="00B16CD2"/>
    <w:rsid w:val="00B433B3"/>
    <w:rsid w:val="00B720C6"/>
    <w:rsid w:val="00B72589"/>
    <w:rsid w:val="00B804FB"/>
    <w:rsid w:val="00B85D17"/>
    <w:rsid w:val="00BA141D"/>
    <w:rsid w:val="00BA7C03"/>
    <w:rsid w:val="00BB4197"/>
    <w:rsid w:val="00BC4998"/>
    <w:rsid w:val="00BD3A58"/>
    <w:rsid w:val="00BD6ACB"/>
    <w:rsid w:val="00BE2799"/>
    <w:rsid w:val="00C25952"/>
    <w:rsid w:val="00C44E17"/>
    <w:rsid w:val="00C512DC"/>
    <w:rsid w:val="00C7786F"/>
    <w:rsid w:val="00CA52FC"/>
    <w:rsid w:val="00CB7EA6"/>
    <w:rsid w:val="00CC684B"/>
    <w:rsid w:val="00D01BF1"/>
    <w:rsid w:val="00D070A0"/>
    <w:rsid w:val="00D1269F"/>
    <w:rsid w:val="00D3148C"/>
    <w:rsid w:val="00D341A0"/>
    <w:rsid w:val="00D35681"/>
    <w:rsid w:val="00D54F92"/>
    <w:rsid w:val="00DA7F34"/>
    <w:rsid w:val="00DB1011"/>
    <w:rsid w:val="00DB4BDD"/>
    <w:rsid w:val="00DC0C92"/>
    <w:rsid w:val="00E0453F"/>
    <w:rsid w:val="00E201C0"/>
    <w:rsid w:val="00E213CB"/>
    <w:rsid w:val="00E5457E"/>
    <w:rsid w:val="00E64278"/>
    <w:rsid w:val="00E66795"/>
    <w:rsid w:val="00E70D44"/>
    <w:rsid w:val="00E96CC4"/>
    <w:rsid w:val="00EA469A"/>
    <w:rsid w:val="00EE69D2"/>
    <w:rsid w:val="00F16802"/>
    <w:rsid w:val="00FF53E2"/>
    <w:rsid w:val="00FF568B"/>
    <w:rsid w:val="023314AF"/>
    <w:rsid w:val="0263327A"/>
    <w:rsid w:val="02AA6BD7"/>
    <w:rsid w:val="03F21D50"/>
    <w:rsid w:val="03F77047"/>
    <w:rsid w:val="03FC7A0F"/>
    <w:rsid w:val="05365C46"/>
    <w:rsid w:val="061A5697"/>
    <w:rsid w:val="06A807C0"/>
    <w:rsid w:val="06C23705"/>
    <w:rsid w:val="06C82123"/>
    <w:rsid w:val="07F538C9"/>
    <w:rsid w:val="0929004B"/>
    <w:rsid w:val="098954E9"/>
    <w:rsid w:val="09C74E19"/>
    <w:rsid w:val="0C291E8D"/>
    <w:rsid w:val="0C8D4874"/>
    <w:rsid w:val="0CF003F7"/>
    <w:rsid w:val="116777B5"/>
    <w:rsid w:val="11B63DE3"/>
    <w:rsid w:val="11DA2059"/>
    <w:rsid w:val="12537E2F"/>
    <w:rsid w:val="126A1DBC"/>
    <w:rsid w:val="13203EB3"/>
    <w:rsid w:val="13685E0A"/>
    <w:rsid w:val="14987177"/>
    <w:rsid w:val="14C60AA1"/>
    <w:rsid w:val="151F3956"/>
    <w:rsid w:val="15B81E7E"/>
    <w:rsid w:val="15E407BB"/>
    <w:rsid w:val="1663129C"/>
    <w:rsid w:val="176619A2"/>
    <w:rsid w:val="17B923AE"/>
    <w:rsid w:val="181D41CA"/>
    <w:rsid w:val="18817398"/>
    <w:rsid w:val="18A920E9"/>
    <w:rsid w:val="192C4870"/>
    <w:rsid w:val="194862C7"/>
    <w:rsid w:val="196440D7"/>
    <w:rsid w:val="1B224D41"/>
    <w:rsid w:val="1C232273"/>
    <w:rsid w:val="1C5E65B1"/>
    <w:rsid w:val="1D896340"/>
    <w:rsid w:val="1E184BC3"/>
    <w:rsid w:val="1E6E2C4B"/>
    <w:rsid w:val="1EC2131E"/>
    <w:rsid w:val="1F4E6FA4"/>
    <w:rsid w:val="1FBC01D5"/>
    <w:rsid w:val="21761DB9"/>
    <w:rsid w:val="21CA6926"/>
    <w:rsid w:val="22BD1BB3"/>
    <w:rsid w:val="234C2976"/>
    <w:rsid w:val="235D4768"/>
    <w:rsid w:val="238860B5"/>
    <w:rsid w:val="24866E28"/>
    <w:rsid w:val="24D6678A"/>
    <w:rsid w:val="26412698"/>
    <w:rsid w:val="27D90301"/>
    <w:rsid w:val="282A063E"/>
    <w:rsid w:val="28734E64"/>
    <w:rsid w:val="29B32224"/>
    <w:rsid w:val="2A265C79"/>
    <w:rsid w:val="2C965654"/>
    <w:rsid w:val="2CA20BD8"/>
    <w:rsid w:val="2CCA0769"/>
    <w:rsid w:val="2DF04D00"/>
    <w:rsid w:val="2EE56013"/>
    <w:rsid w:val="2F2B2213"/>
    <w:rsid w:val="2F350BDE"/>
    <w:rsid w:val="2F992B4E"/>
    <w:rsid w:val="30016535"/>
    <w:rsid w:val="30F1091B"/>
    <w:rsid w:val="313B0078"/>
    <w:rsid w:val="31AE28AF"/>
    <w:rsid w:val="32BF2B03"/>
    <w:rsid w:val="33373D30"/>
    <w:rsid w:val="335D377B"/>
    <w:rsid w:val="33A93923"/>
    <w:rsid w:val="34753D70"/>
    <w:rsid w:val="35476B99"/>
    <w:rsid w:val="359B6B4E"/>
    <w:rsid w:val="359E29A7"/>
    <w:rsid w:val="35B300F9"/>
    <w:rsid w:val="36952CB5"/>
    <w:rsid w:val="372E3B02"/>
    <w:rsid w:val="375C43BE"/>
    <w:rsid w:val="381606CD"/>
    <w:rsid w:val="38675B60"/>
    <w:rsid w:val="38CB33C9"/>
    <w:rsid w:val="3909443A"/>
    <w:rsid w:val="3B4D57C4"/>
    <w:rsid w:val="3B7E5979"/>
    <w:rsid w:val="3BD74655"/>
    <w:rsid w:val="3CB07487"/>
    <w:rsid w:val="3DC15286"/>
    <w:rsid w:val="3E3A5A2A"/>
    <w:rsid w:val="3F591968"/>
    <w:rsid w:val="40826800"/>
    <w:rsid w:val="412054A9"/>
    <w:rsid w:val="435A6456"/>
    <w:rsid w:val="43A913C2"/>
    <w:rsid w:val="44714EB6"/>
    <w:rsid w:val="458611C5"/>
    <w:rsid w:val="45996C60"/>
    <w:rsid w:val="46034518"/>
    <w:rsid w:val="46600966"/>
    <w:rsid w:val="49E32D03"/>
    <w:rsid w:val="4AC5779E"/>
    <w:rsid w:val="4C5A6D55"/>
    <w:rsid w:val="4D3B24AE"/>
    <w:rsid w:val="4D7B743A"/>
    <w:rsid w:val="4DC01EF0"/>
    <w:rsid w:val="4E790B5A"/>
    <w:rsid w:val="4FFE1369"/>
    <w:rsid w:val="507F1C81"/>
    <w:rsid w:val="51D9151E"/>
    <w:rsid w:val="52A676B0"/>
    <w:rsid w:val="53A62C6C"/>
    <w:rsid w:val="53CC5671"/>
    <w:rsid w:val="540103B9"/>
    <w:rsid w:val="54E56391"/>
    <w:rsid w:val="555431A9"/>
    <w:rsid w:val="568F79B2"/>
    <w:rsid w:val="57864B91"/>
    <w:rsid w:val="58A75623"/>
    <w:rsid w:val="59BB274B"/>
    <w:rsid w:val="5A881686"/>
    <w:rsid w:val="5AA53DFD"/>
    <w:rsid w:val="5BBC5822"/>
    <w:rsid w:val="5C1D6295"/>
    <w:rsid w:val="5C97232B"/>
    <w:rsid w:val="5CD30081"/>
    <w:rsid w:val="5DD354B0"/>
    <w:rsid w:val="5EDA6EDA"/>
    <w:rsid w:val="5FC857DC"/>
    <w:rsid w:val="605B6A40"/>
    <w:rsid w:val="60F722EF"/>
    <w:rsid w:val="61AE2DF5"/>
    <w:rsid w:val="62186D8D"/>
    <w:rsid w:val="638A7108"/>
    <w:rsid w:val="659B3DE7"/>
    <w:rsid w:val="669C7FB9"/>
    <w:rsid w:val="66D402F7"/>
    <w:rsid w:val="671A0BD3"/>
    <w:rsid w:val="67575A1A"/>
    <w:rsid w:val="684F6D2A"/>
    <w:rsid w:val="6A841F8E"/>
    <w:rsid w:val="6D8A2118"/>
    <w:rsid w:val="6DDB082D"/>
    <w:rsid w:val="6E0F3B6A"/>
    <w:rsid w:val="6E341AC4"/>
    <w:rsid w:val="6E6913F2"/>
    <w:rsid w:val="6E8D5F64"/>
    <w:rsid w:val="6E90304D"/>
    <w:rsid w:val="6ECB2D9C"/>
    <w:rsid w:val="6F31392C"/>
    <w:rsid w:val="6F3B2BA6"/>
    <w:rsid w:val="6FD15541"/>
    <w:rsid w:val="700A66D9"/>
    <w:rsid w:val="71533BF6"/>
    <w:rsid w:val="71741EB5"/>
    <w:rsid w:val="719B24FC"/>
    <w:rsid w:val="7289627C"/>
    <w:rsid w:val="735C7DF5"/>
    <w:rsid w:val="73BC3715"/>
    <w:rsid w:val="75271198"/>
    <w:rsid w:val="753A0DDE"/>
    <w:rsid w:val="768266A0"/>
    <w:rsid w:val="76907AD0"/>
    <w:rsid w:val="76D53AEE"/>
    <w:rsid w:val="77EF0D93"/>
    <w:rsid w:val="7801408D"/>
    <w:rsid w:val="78191F70"/>
    <w:rsid w:val="78755AA7"/>
    <w:rsid w:val="797D5D0B"/>
    <w:rsid w:val="7A1B74E4"/>
    <w:rsid w:val="7AAD6B0C"/>
    <w:rsid w:val="7ACE7268"/>
    <w:rsid w:val="7AFD6010"/>
    <w:rsid w:val="7C147F92"/>
    <w:rsid w:val="7D1B3453"/>
    <w:rsid w:val="7D4C035E"/>
    <w:rsid w:val="7F2E6DFD"/>
    <w:rsid w:val="7F445751"/>
    <w:rsid w:val="7FC0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ody Text Indent"/>
    <w:basedOn w:val="1"/>
    <w:qFormat/>
    <w:uiPriority w:val="0"/>
    <w:pPr>
      <w:spacing w:line="360" w:lineRule="auto"/>
      <w:ind w:firstLine="630"/>
    </w:pPr>
    <w:rPr>
      <w:rFonts w:ascii="宋体" w:hAnsi="宋体" w:eastAsia="宋体"/>
      <w:kern w:val="0"/>
      <w:sz w:val="24"/>
      <w:szCs w:val="20"/>
    </w:rPr>
  </w:style>
  <w:style w:type="paragraph" w:styleId="5">
    <w:name w:val="Balloon Text"/>
    <w:basedOn w:val="1"/>
    <w:link w:val="18"/>
    <w:semiHidden/>
    <w:unhideWhenUsed/>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7"/>
    <w:qFormat/>
    <w:uiPriority w:val="99"/>
    <w:rPr>
      <w:rFonts w:asciiTheme="minorHAnsi" w:hAnsiTheme="minorHAnsi" w:eastAsiaTheme="minorEastAsia" w:cstheme="minorBidi"/>
      <w:kern w:val="2"/>
      <w:sz w:val="18"/>
      <w:szCs w:val="18"/>
    </w:rPr>
  </w:style>
  <w:style w:type="character" w:customStyle="1" w:styleId="13">
    <w:name w:val="页脚 Char"/>
    <w:basedOn w:val="10"/>
    <w:link w:val="6"/>
    <w:qFormat/>
    <w:uiPriority w:val="99"/>
    <w:rPr>
      <w:rFonts w:asciiTheme="minorHAnsi" w:hAnsiTheme="minorHAnsi" w:eastAsiaTheme="minorEastAsia" w:cstheme="minorBidi"/>
      <w:kern w:val="2"/>
      <w:sz w:val="18"/>
      <w:szCs w:val="18"/>
    </w:rPr>
  </w:style>
  <w:style w:type="paragraph" w:styleId="14">
    <w:name w:val="List Paragraph"/>
    <w:basedOn w:val="1"/>
    <w:qFormat/>
    <w:uiPriority w:val="34"/>
    <w:pPr>
      <w:ind w:firstLine="420" w:firstLineChars="200"/>
    </w:pPr>
    <w:rPr>
      <w:rFonts w:eastAsia="宋体"/>
    </w:rPr>
  </w:style>
  <w:style w:type="character" w:customStyle="1" w:styleId="15">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8"/>
    <w:qFormat/>
    <w:uiPriority w:val="0"/>
    <w:rPr>
      <w:rFonts w:asciiTheme="minorHAnsi" w:hAnsiTheme="minorHAnsi" w:eastAsiaTheme="minorEastAsia" w:cstheme="minorBidi"/>
      <w:b/>
      <w:bCs/>
      <w:kern w:val="2"/>
      <w:sz w:val="21"/>
      <w:szCs w:val="24"/>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框文本 Char"/>
    <w:basedOn w:val="10"/>
    <w:link w:val="5"/>
    <w:semiHidden/>
    <w:qFormat/>
    <w:uiPriority w:val="0"/>
    <w:rPr>
      <w:rFonts w:asciiTheme="minorHAnsi" w:hAnsiTheme="minorHAnsi" w:eastAsiaTheme="minorEastAsia" w:cstheme="minorBidi"/>
      <w:kern w:val="2"/>
      <w:sz w:val="18"/>
      <w:szCs w:val="18"/>
    </w:rPr>
  </w:style>
  <w:style w:type="paragraph" w:customStyle="1" w:styleId="19">
    <w:name w:val="列出段落2"/>
    <w:basedOn w:val="1"/>
    <w:qFormat/>
    <w:uiPriority w:val="99"/>
    <w:pPr>
      <w:ind w:firstLine="420" w:firstLineChars="200"/>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7354-F1DC-4395-829A-58863A262645}">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26</Pages>
  <Words>1633</Words>
  <Characters>9312</Characters>
  <Lines>77</Lines>
  <Paragraphs>21</Paragraphs>
  <TotalTime>130</TotalTime>
  <ScaleCrop>false</ScaleCrop>
  <LinksUpToDate>false</LinksUpToDate>
  <CharactersWithSpaces>10924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2023-10-11T11:59:00Z</dcterms:created>
  <dc:creator>233</dc:creator>
  <cp:lastModifiedBy>Shine</cp:lastModifiedBy>
  <cp:lastPrinted>2019-05-15T06:21:00Z</cp:lastPrinted>
  <dcterms:modified xsi:type="dcterms:W3CDTF">2023-10-31T07:43:53Z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F564BB5373884772B4607F293FFDFEEF_12</vt:lpwstr>
  </property>
</Properties>
</file>