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883" w:firstLineChars="200"/>
        <w:jc w:val="both"/>
        <w:rPr>
          <w:rFonts w:asciiTheme="minorEastAsia" w:hAnsiTheme="minorEastAsia" w:cstheme="minorEastAsia"/>
          <w:b/>
          <w:sz w:val="44"/>
          <w:szCs w:val="44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/>
          <w:sz w:val="44"/>
          <w:szCs w:val="44"/>
        </w:rPr>
        <w:t>深圳市特力（集团）股份有限公司</w:t>
      </w:r>
    </w:p>
    <w:p>
      <w:pPr>
        <w:pStyle w:val="2"/>
        <w:bidi w:val="0"/>
        <w:jc w:val="center"/>
        <w:rPr>
          <w:rFonts w:hint="eastAsia" w:eastAsia="宋体" w:asciiTheme="minorEastAsia" w:hAnsiTheme="minorEastAsia" w:cstheme="minorEastAsia"/>
          <w:b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eastAsia="宋体" w:asciiTheme="minorEastAsia" w:hAnsiTheme="minorEastAsia" w:cstheme="minorEastAsia"/>
          <w:b/>
          <w:bCs w:val="0"/>
          <w:kern w:val="2"/>
          <w:sz w:val="44"/>
          <w:szCs w:val="44"/>
          <w:lang w:val="en-US" w:eastAsia="zh-CN" w:bidi="ar-SA"/>
        </w:rPr>
        <w:t>2023年度董事会工作报告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2023年，深圳市特力（集团）股份有限公司（以下简称“公司”“特力集团”）董事会在全体股东及相关主管部门的大力支持下，严格遵守《公司法》《证券法》等法律、法规及深交所发布的各项规则，认真履行《公司章程》《董事会议事规则》赋予的职责，恪尽职守、勤勉尽责，严格执行股东大会决议，积极推动董事会决议的实施，为公司规范运作夯实基础，实现公司高质量发展。现将董事会2023年度开展的各项工作汇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default" w:ascii="黑体" w:hAnsi="黑体" w:eastAsia="黑体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bCs/>
          <w:sz w:val="30"/>
          <w:szCs w:val="30"/>
        </w:rPr>
        <w:t>一、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2023年度经营概况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2023年度，公司实现营业收入184,674万元，同比增长120.46%，收入变动的主要原因是黄金珠宝业务规模扩大。2023年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度</w:t>
      </w:r>
      <w:r>
        <w:rPr>
          <w:rFonts w:hint="eastAsia" w:ascii="仿宋" w:hAnsi="仿宋" w:eastAsia="仿宋"/>
          <w:sz w:val="30"/>
          <w:szCs w:val="30"/>
        </w:rPr>
        <w:t>，公司实现利润总额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15,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352</w:t>
      </w:r>
      <w:r>
        <w:rPr>
          <w:rFonts w:hint="eastAsia" w:ascii="仿宋" w:hAnsi="仿宋" w:eastAsia="仿宋"/>
          <w:sz w:val="30"/>
          <w:szCs w:val="30"/>
        </w:rPr>
        <w:t>万元，比2022年增加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,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068</w:t>
      </w:r>
      <w:r>
        <w:rPr>
          <w:rFonts w:hint="eastAsia" w:ascii="仿宋" w:hAnsi="仿宋" w:eastAsia="仿宋"/>
          <w:sz w:val="30"/>
          <w:szCs w:val="30"/>
        </w:rPr>
        <w:t>万元；归属于母公司的净利润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11,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826</w:t>
      </w:r>
      <w:r>
        <w:rPr>
          <w:rFonts w:hint="eastAsia" w:ascii="仿宋" w:hAnsi="仿宋" w:eastAsia="仿宋"/>
          <w:sz w:val="30"/>
          <w:szCs w:val="30"/>
        </w:rPr>
        <w:t>万元，比2022年增加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,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476</w:t>
      </w:r>
      <w:r>
        <w:rPr>
          <w:rFonts w:hint="eastAsia" w:ascii="仿宋" w:hAnsi="仿宋" w:eastAsia="仿宋"/>
          <w:sz w:val="30"/>
          <w:szCs w:val="30"/>
        </w:rPr>
        <w:t>万元，变动主要原因包括丧失子公司控制权后，变更计量方式、支付清算员工补偿金，公司金钻大厦投入运营等。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截至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2023年12月31日，公司资产总额为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240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,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385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万元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 w:cs="Times New Roman"/>
          <w:bCs/>
          <w:kern w:val="2"/>
          <w:sz w:val="30"/>
          <w:szCs w:val="30"/>
          <w:lang w:val="en-US" w:eastAsia="zh-CN" w:bidi="ar-SA"/>
        </w:rPr>
        <w:t>二、</w:t>
      </w:r>
      <w:r>
        <w:rPr>
          <w:rFonts w:hint="eastAsia" w:ascii="黑体" w:hAnsi="黑体" w:eastAsia="黑体"/>
          <w:bCs/>
          <w:sz w:val="30"/>
          <w:szCs w:val="30"/>
        </w:rPr>
        <w:t>公司董事会运行情况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（一）对公司股东大会决策的执行情况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2023年，特力集团共召开三次股东大会，审议通过事项及具体执行情况如下：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公司</w:t>
      </w:r>
      <w:r>
        <w:rPr>
          <w:rFonts w:hint="eastAsia" w:ascii="仿宋" w:hAnsi="仿宋" w:eastAsia="仿宋"/>
          <w:sz w:val="30"/>
          <w:szCs w:val="30"/>
        </w:rPr>
        <w:t>2022年年度股东大会审议通过了2022年度利润分配方案，根据会议决议，公司于2023年6月完成了2022年度的利润分配，以截至2022年12月31日的总股本431,058,320股为基数，向全体股东每10股派发现金红利0.28元（含税），共计派发现金12,069,632.96元，不送红股，不转增股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公司</w:t>
      </w:r>
      <w:r>
        <w:rPr>
          <w:rFonts w:hint="eastAsia" w:ascii="仿宋" w:hAnsi="仿宋" w:eastAsia="仿宋"/>
          <w:sz w:val="30"/>
          <w:szCs w:val="30"/>
        </w:rPr>
        <w:t>2023年度第二次临时股东大会审议通过关于拟变更会计师事务所、补选十届董事会董事成员的议案，会后公司按照决议内容完成了相关工作。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.对于2022年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年</w:t>
      </w:r>
      <w:r>
        <w:rPr>
          <w:rFonts w:hint="eastAsia" w:ascii="仿宋" w:hAnsi="仿宋" w:eastAsia="仿宋"/>
          <w:sz w:val="30"/>
          <w:szCs w:val="30"/>
        </w:rPr>
        <w:t>度股东大会审议通过的关于2023年度财务预算、银行授信、购买理财产品的议案，董事会领导经营班子以维护股东利益及促进公司持续发展为出发点，认真贯彻执行，决议内容均得到有效的执行，未出现消极履职、执行不力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（二）董事会会议情况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</w:rPr>
        <w:t>3</w:t>
      </w:r>
      <w:r>
        <w:rPr>
          <w:rFonts w:ascii="仿宋" w:hAnsi="仿宋" w:eastAsia="仿宋"/>
          <w:sz w:val="30"/>
          <w:szCs w:val="30"/>
        </w:rPr>
        <w:t>年度，公司董事会审议议案涉及定期报告、</w:t>
      </w:r>
      <w:r>
        <w:rPr>
          <w:rFonts w:hint="eastAsia" w:ascii="仿宋" w:hAnsi="仿宋" w:eastAsia="仿宋"/>
          <w:sz w:val="30"/>
          <w:szCs w:val="30"/>
        </w:rPr>
        <w:t>利润分配、</w:t>
      </w:r>
      <w:r>
        <w:rPr>
          <w:rFonts w:ascii="仿宋" w:hAnsi="仿宋" w:eastAsia="仿宋"/>
          <w:sz w:val="30"/>
          <w:szCs w:val="30"/>
        </w:rPr>
        <w:t>关联交易等重大事项，参加会议的董事人数符合法定要求，董事会的召集、召开及表决程序符合《公司法》《公司章程》及《董事会议事规则》的规定。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ascii="仿宋" w:hAnsi="仿宋" w:eastAsia="仿宋"/>
          <w:color w:val="FF000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2023年，召开董事会正式会议及临时会议共计10次，审议通过议案36项，具体如下：</w:t>
      </w:r>
    </w:p>
    <w:tbl>
      <w:tblPr>
        <w:tblStyle w:val="4"/>
        <w:tblW w:w="9360" w:type="dxa"/>
        <w:tblInd w:w="-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701"/>
        <w:gridCol w:w="1417"/>
        <w:gridCol w:w="5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会议届次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召开日期</w:t>
            </w:r>
          </w:p>
        </w:tc>
        <w:tc>
          <w:tcPr>
            <w:tcW w:w="5538" w:type="dxa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审议事项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十届董事会第八次临时会议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2023年1月12日</w:t>
            </w:r>
          </w:p>
        </w:tc>
        <w:tc>
          <w:tcPr>
            <w:tcW w:w="5538" w:type="dxa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1.关于制定《套期保值业务管理办法》的议案</w:t>
            </w:r>
          </w:p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2.关于控股子公司开展套期保值业务的议案</w:t>
            </w:r>
          </w:p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3.关于修订《内部审计管理办法》的议案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十届董事会第九次临时会议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2023年2月2日</w:t>
            </w:r>
          </w:p>
        </w:tc>
        <w:tc>
          <w:tcPr>
            <w:tcW w:w="5538" w:type="dxa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1.关于续聘2022年度审计机构的议案</w:t>
            </w:r>
          </w:p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2.关于召开2023年第一次临时股东大会的议案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十届董事会第七次正式会议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2023年4月25日</w:t>
            </w:r>
          </w:p>
        </w:tc>
        <w:tc>
          <w:tcPr>
            <w:tcW w:w="5538" w:type="dxa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1.2022年度董事会工作报告</w:t>
            </w:r>
          </w:p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2.《2022年年度报告》及《摘要》</w:t>
            </w:r>
          </w:p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3.2022年度利润分配方案</w:t>
            </w:r>
          </w:p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4.2022年度内部控制自我评价报告</w:t>
            </w:r>
          </w:p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5.2022年度内控体系工作报告</w:t>
            </w:r>
          </w:p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6.2023年度重大风险评估报告</w:t>
            </w:r>
          </w:p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7.2022年度财务决算报告</w:t>
            </w:r>
          </w:p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8.2023年度财务预算报告</w:t>
            </w:r>
          </w:p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9.2022年度环境、社会及治理（ESG）报告</w:t>
            </w:r>
          </w:p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10.关于公司未来三年（2023年-2025年）股东回报规划的议案</w:t>
            </w:r>
          </w:p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11.关于公司2023年度日常关联交易的议案</w:t>
            </w:r>
          </w:p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12.关于使用闲置自有资金购买银行理财产品的议案</w:t>
            </w:r>
          </w:p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13.关于申请2023年银行授信额度的议案</w:t>
            </w:r>
          </w:p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14.《2023年第一季度报告》</w:t>
            </w:r>
          </w:p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15.关于召开2022年年度股东大会的议案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十届董事会第十次临时会议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2023年7月31日</w:t>
            </w:r>
          </w:p>
        </w:tc>
        <w:tc>
          <w:tcPr>
            <w:tcW w:w="5538" w:type="dxa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1.关于解散华日丰田的议案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十届董事会第十一次临时会议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2023年8月2日</w:t>
            </w:r>
          </w:p>
        </w:tc>
        <w:tc>
          <w:tcPr>
            <w:tcW w:w="5538" w:type="dxa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1.关于聘任公司财务总监的议案</w:t>
            </w:r>
          </w:p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2.关于补选十届董事会董事成员的议案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十届董事会第八次正式会议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2023年8月23日</w:t>
            </w:r>
          </w:p>
        </w:tc>
        <w:tc>
          <w:tcPr>
            <w:tcW w:w="5538" w:type="dxa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1.《2023年半年度报告》及《摘要》</w:t>
            </w:r>
          </w:p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2.关于公司副总经理职务考核结果的议案</w:t>
            </w:r>
          </w:p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3.关于修订公司《班子成员薪酬绩效管理办法》的议案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十届董事会第十二次临时会议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2023年9月21日</w:t>
            </w:r>
          </w:p>
        </w:tc>
        <w:tc>
          <w:tcPr>
            <w:tcW w:w="5538" w:type="dxa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1.关于拟变更会计师事务所的议案</w:t>
            </w:r>
          </w:p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2.关于修订《战略规划管理制度》的议案</w:t>
            </w:r>
          </w:p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3.关于修订《内部控制缺陷认定标准》的议案</w:t>
            </w:r>
          </w:p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4.关于调整公司董事会审计委员会成员的议案</w:t>
            </w:r>
          </w:p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5.关于公司经营班子2022年度考核结果及应用的议案</w:t>
            </w:r>
          </w:p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6.关于召开公司2023年第二次临时股东大会的议案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十届董事会第九次正式会议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2023年10月25日</w:t>
            </w:r>
          </w:p>
        </w:tc>
        <w:tc>
          <w:tcPr>
            <w:tcW w:w="5538" w:type="dxa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1.《2023年第三季度报告》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十届董事会第十三次临时会议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2023年12月5日</w:t>
            </w:r>
          </w:p>
        </w:tc>
        <w:tc>
          <w:tcPr>
            <w:tcW w:w="5538" w:type="dxa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1.关于调整公司组织架构的议案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十届董事会第十四次临时会议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2023年12月28日</w:t>
            </w:r>
          </w:p>
        </w:tc>
        <w:tc>
          <w:tcPr>
            <w:tcW w:w="5538" w:type="dxa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1.关于修订《理财投资管理办法》的议案</w:t>
            </w:r>
          </w:p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2.关于公司部分经营班子项目奖金核定发放的议案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（三）董事会专门委员会会议情况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专门委员会发挥专门议事职能，为董事会科学高效决策提供有力保障。公司重视董事会专门委员会的作用，下设战略委员会、审计委员会、薪酬与考核委员会，</w:t>
      </w:r>
      <w:r>
        <w:rPr>
          <w:rFonts w:ascii="仿宋" w:hAnsi="仿宋" w:eastAsia="仿宋"/>
          <w:sz w:val="30"/>
          <w:szCs w:val="30"/>
        </w:rPr>
        <w:t>各专门委员会能够严格按照《公司章程》、各专门委员会的《议事规则》设定的职权范围履行职责，严格按程序召开相关会议</w:t>
      </w:r>
      <w:r>
        <w:rPr>
          <w:rFonts w:hint="eastAsia" w:ascii="仿宋" w:hAnsi="仿宋" w:eastAsia="仿宋"/>
          <w:sz w:val="30"/>
          <w:szCs w:val="30"/>
        </w:rPr>
        <w:t>。报告期内，共计召开11次下设委员会，审阅或审议1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</w:rPr>
        <w:t>项会议内容，</w:t>
      </w:r>
      <w:r>
        <w:rPr>
          <w:rFonts w:ascii="仿宋" w:hAnsi="仿宋" w:eastAsia="仿宋"/>
          <w:sz w:val="30"/>
          <w:szCs w:val="30"/>
        </w:rPr>
        <w:t>并就相关工作向董事会提供专业意见，为董事会的科学决策提供了参考，为构建完善的公司治理结构奠定了坚实基础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（四）独立董事履行职责情况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公司独立董事严格按照《公司法》《深圳证券交易所上市公司自律监管指引第</w:t>
      </w:r>
      <w:r>
        <w:rPr>
          <w:rFonts w:ascii="仿宋" w:hAnsi="仿宋" w:eastAsia="仿宋"/>
          <w:sz w:val="30"/>
          <w:szCs w:val="30"/>
        </w:rPr>
        <w:t>1号——主板上市公司规范运作》《公司章程》《上市公司独立董事管理办法》等有关法律、法规和部门规章的规定，积极出席相关会议，认真审议董事会的各项议案，勤勉尽责，充分发挥了独立董事作用。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三、2024年董事会重点工作计划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（一）充分发挥董事会在公司治理中的核心作用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公司董事会将继续依照法律、行政法规及公司内部制度，积极发挥在公司治理中的核心作用，履行重大事项决策程序，扎实做好董事会日常工作，认真贯彻执行股东大会决议，推动公司各项工作平稳有序地开展。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（二）强化合规体系和风险防控机制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加强内控制度建设，完善内部审计的检查、评价与监督职能，加大对下属企业的监督力度。不断完善风险防范机制，从事前、事中、事后各个维度做好风险防控和应对机制，正确处理好合规经营与业务发展的关系，提升公司合规运营能力和风险控制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（三）积极发挥独立董事及董事会专门委员会</w:t>
      </w:r>
      <w:r>
        <w:rPr>
          <w:rFonts w:hint="eastAsia" w:ascii="楷体" w:hAnsi="楷体" w:eastAsia="楷体"/>
          <w:sz w:val="30"/>
          <w:szCs w:val="30"/>
          <w:lang w:val="en-US" w:eastAsia="zh-CN"/>
        </w:rPr>
        <w:t>的</w:t>
      </w:r>
      <w:r>
        <w:rPr>
          <w:rFonts w:hint="eastAsia" w:ascii="楷体" w:hAnsi="楷体" w:eastAsia="楷体"/>
          <w:sz w:val="30"/>
          <w:szCs w:val="30"/>
        </w:rPr>
        <w:t>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目前各专门委员会在董事专门事项的决策上发挥了重要作用，未来将进一步强化和落实专门委员会的作用，充分听取专业人士的意见和建议，提高决策质量。同时，根据《关于上市公司独立董事制度改革的意见》《上市公司独立董事管理办法》等相关法律法规，不断完善独立董事制度，优化独立董事履职方式、强化独立董事任职管理、健全独立董事责任约束机制、完善内外部监督体系等，切实发挥独立董事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right"/>
        <w:textAlignment w:val="auto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深圳市特力（集团）股份有限公司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center"/>
        <w:textAlignment w:val="auto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 xml:space="preserve">                      董 事 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center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 xml:space="preserve">                      202</w:t>
      </w: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4</w:t>
      </w:r>
      <w:r>
        <w:rPr>
          <w:rFonts w:ascii="Times New Roman" w:hAnsi="Times New Roman" w:eastAsia="仿宋"/>
          <w:sz w:val="30"/>
          <w:szCs w:val="30"/>
        </w:rPr>
        <w:t>年</w:t>
      </w: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"/>
          <w:sz w:val="30"/>
          <w:szCs w:val="30"/>
        </w:rPr>
        <w:t>月</w:t>
      </w: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28</w:t>
      </w:r>
      <w:r>
        <w:rPr>
          <w:rFonts w:ascii="Times New Roman" w:hAnsi="Times New Roman" w:eastAsia="仿宋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yYWZjZTg2NTI3MmExZDA5ZmIwMDZmZTkyYTk1MTcifQ=="/>
    <w:docVar w:name="KSO_WPS_MARK_KEY" w:val="c490d0ef-6c9f-442e-9fcd-e97f4f2ff225"/>
  </w:docVars>
  <w:rsids>
    <w:rsidRoot w:val="00000000"/>
    <w:rsid w:val="2361615F"/>
    <w:rsid w:val="2B3F5FE6"/>
    <w:rsid w:val="347F2492"/>
    <w:rsid w:val="38332EB1"/>
    <w:rsid w:val="3D41510C"/>
    <w:rsid w:val="7F02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adjustRightInd w:val="0"/>
      <w:snapToGrid w:val="0"/>
      <w:spacing w:line="240" w:lineRule="auto"/>
      <w:jc w:val="center"/>
      <w:outlineLvl w:val="0"/>
    </w:pPr>
    <w:rPr>
      <w:rFonts w:ascii="宋体" w:hAnsi="宋体" w:cs="宋体"/>
      <w:b/>
      <w:bCs/>
      <w:kern w:val="44"/>
      <w:sz w:val="44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2497</Words>
  <Characters>2794</Characters>
  <Lines>0</Lines>
  <Paragraphs>0</Paragraphs>
  <TotalTime>1</TotalTime>
  <ScaleCrop>false</ScaleCrop>
  <LinksUpToDate>false</LinksUpToDate>
  <CharactersWithSpaces>2840</CharactersWithSpaces>
  <Application>WPS Office_11.1.0.15309_F1E327BC-269C-435d-A152-05C5408002CA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2024-03-18T03:07:00Z</dcterms:created>
  <dc:creator>liu</dc:creator>
  <cp:lastModifiedBy>两点半</cp:lastModifiedBy>
  <dcterms:modified xsi:type="dcterms:W3CDTF">2024-03-29T02:27:27Z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2052-11.1.0.15309</vt:lpwstr>
  </property>
  <property fmtid="{D5CDD505-2E9C-101B-9397-08002B2CF9AE}" pid="3" name="ICV">
    <vt:lpwstr>10D742E2485149D2B688B817BB7109DF_13</vt:lpwstr>
  </property>
</Properties>
</file>