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0" w:after="0" w:line="773" w:lineRule="exact"/>
        <w:jc w:val="center"/>
        <w:rPr>
          <w:rFonts w:ascii="宋体" w:hAnsi="宋体" w:eastAsia="宋体" w:cs="宋体"/>
          <w:b/>
          <w:bCs/>
          <w:sz w:val="36"/>
          <w:szCs w:val="36"/>
        </w:rPr>
      </w:pPr>
      <w:bookmarkStart w:id="423" w:name="_GoBack"/>
      <w:bookmarkEnd w:id="423"/>
      <w:r>
        <w:rPr>
          <w:rFonts w:ascii="宋体" w:hAnsi="宋体" w:eastAsia="宋体" w:cs="宋体"/>
          <w:b/>
          <w:bCs/>
          <w:sz w:val="36"/>
          <w:szCs w:val="36"/>
        </w:rPr>
        <w:t>深圳市特力(集团)股份有限公司</w:t>
      </w:r>
    </w:p>
    <w:p>
      <w:pPr>
        <w:spacing w:before="1000" w:after="0" w:line="240" w:lineRule="exact"/>
        <w:jc w:val="center"/>
        <w:rPr>
          <w:rFonts w:ascii="宋体" w:hAnsi="宋体" w:eastAsia="宋体" w:cs="宋体"/>
          <w:b/>
          <w:bCs/>
          <w:sz w:val="32"/>
          <w:szCs w:val="32"/>
        </w:rPr>
      </w:pPr>
      <w:r>
        <w:rPr>
          <w:rFonts w:ascii="宋体" w:hAnsi="宋体" w:eastAsia="宋体" w:cs="宋体"/>
          <w:b/>
          <w:bCs/>
          <w:sz w:val="32"/>
          <w:szCs w:val="32"/>
        </w:rPr>
        <w:t>2023年年度报告</w:t>
      </w:r>
    </w:p>
    <w:p>
      <w:pPr>
        <w:spacing w:before="1000" w:after="0" w:line="240" w:lineRule="exact"/>
        <w:jc w:val="center"/>
        <w:rPr>
          <w:rFonts w:ascii="宋体" w:hAnsi="宋体" w:eastAsia="宋体" w:cs="宋体"/>
          <w:b/>
          <w:bCs/>
          <w:sz w:val="21"/>
          <w:szCs w:val="21"/>
        </w:rPr>
      </w:pPr>
    </w:p>
    <w:p>
      <w:pPr>
        <w:spacing w:before="1000" w:after="1000" w:line="0" w:lineRule="exact"/>
        <w:jc w:val="center"/>
        <w:rPr>
          <w:rFonts w:ascii="Times New Roman" w:hAnsi="Times New Roman" w:eastAsia="宋体" w:cs="Times New Roman"/>
        </w:rPr>
      </w:pPr>
    </w:p>
    <w:p>
      <w:pPr>
        <w:spacing w:before="400" w:after="0" w:line="320" w:lineRule="exact"/>
        <w:jc w:val="center"/>
        <w:rPr>
          <w:rFonts w:ascii="宋体" w:hAnsi="宋体" w:eastAsia="宋体" w:cs="宋体"/>
          <w:b/>
          <w:bCs/>
          <w:sz w:val="32"/>
          <w:szCs w:val="32"/>
        </w:rPr>
      </w:pPr>
      <w:r>
        <w:rPr>
          <w:rFonts w:hint="eastAsia" w:ascii="宋体" w:hAnsi="宋体" w:eastAsia="宋体" w:cs="宋体"/>
          <w:b/>
          <w:bCs/>
          <w:sz w:val="32"/>
          <w:szCs w:val="32"/>
          <w:lang w:val="en-US" w:eastAsia="zh-CN"/>
        </w:rPr>
        <w:t>2024年03月</w:t>
      </w:r>
    </w:p>
    <w:p>
      <w:r>
        <w:br w:type="page"/>
      </w:r>
    </w:p>
    <w:p>
      <w:pPr>
        <w:spacing w:before="1000" w:after="40" w:line="440" w:lineRule="exact"/>
        <w:jc w:val="center"/>
        <w:rPr>
          <w:rFonts w:ascii="宋体" w:hAnsi="宋体" w:eastAsia="宋体" w:cs="宋体"/>
          <w:b/>
          <w:bCs/>
          <w:sz w:val="44"/>
          <w:szCs w:val="44"/>
        </w:rPr>
      </w:pPr>
      <w:r>
        <w:rPr>
          <w:rFonts w:ascii="宋体" w:hAnsi="宋体" w:eastAsia="宋体" w:cs="宋体"/>
          <w:b/>
          <w:bCs/>
          <w:sz w:val="44"/>
          <w:szCs w:val="44"/>
        </w:rPr>
        <w:t>2023年年度报告</w:t>
      </w:r>
    </w:p>
    <w:p>
      <w:pPr>
        <w:keepNext/>
        <w:keepLines/>
        <w:spacing w:before="340" w:after="330" w:line="773" w:lineRule="exact"/>
        <w:jc w:val="center"/>
        <w:outlineLvl w:val="0"/>
        <w:rPr>
          <w:rFonts w:ascii="宋体" w:hAnsi="宋体" w:eastAsia="宋体" w:cs="宋体"/>
          <w:b/>
          <w:bCs/>
          <w:sz w:val="32"/>
          <w:szCs w:val="32"/>
        </w:rPr>
      </w:pPr>
      <w:bookmarkStart w:id="0" w:name="_Toc988889"/>
      <w:r>
        <w:rPr>
          <w:rFonts w:ascii="宋体" w:hAnsi="宋体" w:eastAsia="宋体" w:cs="宋体"/>
          <w:b/>
          <w:bCs/>
          <w:sz w:val="32"/>
          <w:szCs w:val="32"/>
        </w:rPr>
        <w:t>第一节 重要提示、目录和释义</w:t>
      </w:r>
      <w:bookmarkEnd w:id="0"/>
    </w:p>
    <w:p>
      <w:pPr>
        <w:spacing w:before="40" w:after="40" w:line="560" w:lineRule="exact"/>
        <w:ind w:firstLine="560" w:firstLineChars="200"/>
        <w:jc w:val="both"/>
        <w:rPr>
          <w:rFonts w:ascii="宋体" w:hAnsi="宋体" w:eastAsia="宋体" w:cs="宋体"/>
          <w:b/>
          <w:bCs/>
          <w:sz w:val="28"/>
          <w:szCs w:val="28"/>
        </w:rPr>
      </w:pPr>
      <w:r>
        <w:rPr>
          <w:rFonts w:ascii="宋体" w:hAnsi="宋体" w:eastAsia="宋体" w:cs="宋体"/>
          <w:b/>
          <w:bCs/>
          <w:sz w:val="28"/>
          <w:szCs w:val="28"/>
        </w:rPr>
        <w:t>公司董事会、监事会及董事、监事、高级管理人员保证年度报告内容的真实、准确、完整，不存在虚假记载、误导性陈述或重大遗漏，并承担个别和连带的法律责任。</w:t>
      </w:r>
    </w:p>
    <w:p>
      <w:pPr>
        <w:spacing w:before="0" w:after="0" w:line="560" w:lineRule="exact"/>
        <w:ind w:firstLine="560" w:firstLineChars="200"/>
        <w:jc w:val="both"/>
        <w:rPr>
          <w:rFonts w:ascii="宋体" w:hAnsi="宋体" w:eastAsia="宋体" w:cs="宋体"/>
          <w:b/>
          <w:bCs/>
          <w:sz w:val="28"/>
          <w:szCs w:val="28"/>
        </w:rPr>
      </w:pPr>
      <w:r>
        <w:rPr>
          <w:rFonts w:ascii="宋体" w:hAnsi="宋体" w:eastAsia="宋体" w:cs="宋体"/>
          <w:b/>
          <w:bCs/>
          <w:sz w:val="28"/>
          <w:szCs w:val="28"/>
        </w:rPr>
        <w:t>公司负责人富春龙、主管会计工作负责人黄田阳及会计机构负责人（会计主管人员）余太平声明：保证本年度报告中财务报告的真实、准确、完整。</w:t>
      </w:r>
    </w:p>
    <w:p>
      <w:pPr>
        <w:spacing w:before="0" w:after="0" w:line="560" w:lineRule="exact"/>
        <w:ind w:firstLine="560" w:firstLineChars="200"/>
        <w:jc w:val="both"/>
        <w:rPr>
          <w:rFonts w:ascii="宋体" w:hAnsi="宋体" w:eastAsia="宋体" w:cs="宋体"/>
          <w:b/>
          <w:bCs/>
          <w:sz w:val="28"/>
          <w:szCs w:val="28"/>
        </w:rPr>
      </w:pPr>
      <w:r>
        <w:rPr>
          <w:rFonts w:ascii="宋体" w:hAnsi="宋体" w:eastAsia="宋体" w:cs="宋体"/>
          <w:b/>
          <w:bCs/>
          <w:sz w:val="28"/>
          <w:szCs w:val="28"/>
        </w:rPr>
        <w:t>所有董事均已出席了审议本报告的董事会会议。</w:t>
      </w:r>
    </w:p>
    <w:p>
      <w:pPr>
        <w:spacing w:before="0" w:after="0" w:line="560" w:lineRule="exact"/>
        <w:ind w:firstLine="560" w:firstLineChars="200"/>
        <w:jc w:val="both"/>
        <w:rPr>
          <w:rFonts w:hint="eastAsia" w:ascii="宋体" w:hAnsi="宋体" w:eastAsia="宋体" w:cs="宋体"/>
          <w:b/>
          <w:bCs/>
          <w:sz w:val="28"/>
          <w:szCs w:val="28"/>
          <w:lang w:eastAsia="zh-CN"/>
        </w:rPr>
      </w:pPr>
      <w:r>
        <w:rPr>
          <w:rFonts w:ascii="宋体" w:hAnsi="宋体" w:eastAsia="宋体" w:cs="宋体"/>
          <w:b/>
          <w:bCs/>
          <w:sz w:val="28"/>
          <w:szCs w:val="28"/>
        </w:rPr>
        <w:t>公司需遵守《深圳证券交易所上市公司自律监管指引第3号——行业信息披露》中珠宝相关业的披露要求</w:t>
      </w:r>
      <w:r>
        <w:rPr>
          <w:rFonts w:hint="eastAsia" w:ascii="宋体" w:hAnsi="宋体" w:eastAsia="宋体" w:cs="宋体"/>
          <w:b/>
          <w:bCs/>
          <w:sz w:val="28"/>
          <w:szCs w:val="28"/>
          <w:lang w:eastAsia="zh-CN"/>
        </w:rPr>
        <w:t>。</w:t>
      </w:r>
    </w:p>
    <w:p>
      <w:pPr>
        <w:pStyle w:val="8"/>
        <w:keepNext w:val="0"/>
        <w:keepLines w:val="0"/>
        <w:widowControl/>
        <w:suppressLineNumbers w:val="0"/>
        <w:spacing w:before="100" w:beforeAutospacing="0" w:after="100" w:afterAutospacing="0" w:line="560" w:lineRule="atLeast"/>
        <w:ind w:left="0" w:firstLine="567"/>
        <w:jc w:val="both"/>
        <w:rPr>
          <w:rFonts w:hint="eastAsia" w:ascii="宋体" w:hAnsi="宋体" w:eastAsia="宋体" w:cs="宋体"/>
          <w:b/>
          <w:bCs/>
          <w:sz w:val="28"/>
          <w:szCs w:val="28"/>
        </w:rPr>
      </w:pPr>
      <w:r>
        <w:rPr>
          <w:rFonts w:hint="eastAsia" w:ascii="宋体" w:hAnsi="宋体" w:eastAsia="宋体" w:cs="宋体"/>
          <w:b/>
          <w:bCs/>
          <w:sz w:val="28"/>
          <w:szCs w:val="28"/>
        </w:rPr>
        <w:t>本年度报告内涉及的未来计划、发展战略等前瞻性陈述不构成公司对投资者的实质承诺，投资者及相关人士均应当对此保持足够的风险认识，并且应当理解计划、预测与承诺之间的差异，请投资者注意投资风险。</w:t>
      </w:r>
    </w:p>
    <w:p>
      <w:pPr>
        <w:spacing w:before="0" w:after="0" w:line="560" w:lineRule="exact"/>
        <w:ind w:firstLine="560" w:firstLineChars="200"/>
        <w:jc w:val="both"/>
        <w:rPr>
          <w:rFonts w:ascii="宋体" w:hAnsi="宋体" w:eastAsia="宋体" w:cs="宋体"/>
          <w:b/>
          <w:bCs/>
          <w:sz w:val="28"/>
          <w:szCs w:val="28"/>
        </w:rPr>
      </w:pPr>
      <w:r>
        <w:rPr>
          <w:rFonts w:ascii="宋体" w:hAnsi="宋体" w:eastAsia="宋体" w:cs="宋体"/>
          <w:b/>
          <w:bCs/>
          <w:sz w:val="28"/>
          <w:szCs w:val="28"/>
        </w:rPr>
        <w:t>公司经本次董事会审议通过的利润分配预案为：以431,058,320为基数，向全体股东每10股派发现金红利0.31元（含税），送红股0股（含税），不以公积金转增股本。</w:t>
      </w:r>
    </w:p>
    <w:p>
      <w:r>
        <w:br w:type="page"/>
      </w:r>
    </w:p>
    <w:p>
      <w:pPr>
        <w:spacing w:before="0" w:after="0" w:line="720" w:lineRule="exact"/>
        <w:jc w:val="center"/>
        <w:rPr>
          <w:rFonts w:ascii="宋体" w:hAnsi="宋体" w:eastAsia="宋体" w:cs="宋体"/>
          <w:b/>
          <w:bCs/>
          <w:sz w:val="36"/>
          <w:szCs w:val="36"/>
        </w:rPr>
      </w:pPr>
      <w:r>
        <w:rPr>
          <w:rFonts w:ascii="宋体" w:hAnsi="宋体" w:eastAsia="宋体" w:cs="宋体"/>
          <w:b/>
          <w:bCs/>
          <w:sz w:val="36"/>
          <w:szCs w:val="36"/>
        </w:rPr>
        <w:t>目录</w:t>
      </w:r>
    </w:p>
    <w:p>
      <w:pPr>
        <w:tabs>
          <w:tab w:val="left" w:leader="dot" w:pos="9469"/>
        </w:tabs>
      </w:pPr>
      <w:r>
        <w:fldChar w:fldCharType="begin"/>
      </w:r>
      <w:r>
        <w:instrText xml:space="preserve"> </w:instrText>
      </w:r>
      <w:r>
        <w:rPr>
          <w:rFonts w:hint="eastAsia" w:ascii="宋体" w:hAnsi="宋体" w:eastAsia="宋体"/>
        </w:rPr>
        <w:instrText xml:space="preserve">TOC \o "1-2" \h \z \u</w:instrText>
      </w:r>
      <w:r>
        <w:instrText xml:space="preserve"> </w:instrText>
      </w:r>
      <w:r>
        <w:fldChar w:fldCharType="separate"/>
      </w:r>
      <w:r>
        <w:fldChar w:fldCharType="begin"/>
      </w:r>
      <w:r>
        <w:instrText xml:space="preserve"> HYPERLINK \l "_Toc988889" </w:instrText>
      </w:r>
      <w:r>
        <w:fldChar w:fldCharType="separate"/>
      </w:r>
      <w:r>
        <w:rPr>
          <w:rFonts w:hint="eastAsia" w:ascii="宋体" w:hAnsi="宋体" w:eastAsia="宋体"/>
          <w:b/>
          <w:bCs/>
          <w:sz w:val="24"/>
        </w:rPr>
        <w:t>第一节 重要提示、目录和释义</w:t>
      </w:r>
      <w:r>
        <w:tab/>
      </w:r>
      <w:r>
        <w:fldChar w:fldCharType="begin"/>
      </w:r>
      <w:r>
        <w:instrText xml:space="preserve"> PAGEREF _Toc988889 \h </w:instrText>
      </w:r>
      <w:r>
        <w:rPr>
          <w:rFonts w:hint="eastAsia" w:ascii="宋体" w:hAnsi="宋体" w:eastAsia="宋体"/>
          <w:b/>
          <w:bCs/>
          <w:sz w:val="24"/>
        </w:rPr>
        <w:fldChar w:fldCharType="separate"/>
      </w:r>
      <w:r>
        <w:t>2</w:t>
      </w:r>
      <w:r>
        <w:fldChar w:fldCharType="end"/>
      </w:r>
      <w:r>
        <w:fldChar w:fldCharType="end"/>
      </w:r>
    </w:p>
    <w:p>
      <w:pPr>
        <w:tabs>
          <w:tab w:val="left" w:leader="dot" w:pos="9469"/>
        </w:tabs>
      </w:pPr>
      <w:r>
        <w:fldChar w:fldCharType="begin"/>
      </w:r>
      <w:r>
        <w:instrText xml:space="preserve"> HYPERLINK \l "_Toc988890" </w:instrText>
      </w:r>
      <w:r>
        <w:fldChar w:fldCharType="separate"/>
      </w:r>
      <w:r>
        <w:rPr>
          <w:rFonts w:hint="eastAsia" w:ascii="宋体" w:hAnsi="宋体" w:eastAsia="宋体"/>
          <w:b/>
          <w:bCs/>
          <w:sz w:val="24"/>
        </w:rPr>
        <w:t>第二节 公司简介和主要财务指标</w:t>
      </w:r>
      <w:r>
        <w:tab/>
      </w:r>
      <w:r>
        <w:fldChar w:fldCharType="begin"/>
      </w:r>
      <w:r>
        <w:instrText xml:space="preserve"> PAGEREF _Toc988890 \h </w:instrText>
      </w:r>
      <w:r>
        <w:rPr>
          <w:rFonts w:hint="eastAsia" w:ascii="宋体" w:hAnsi="宋体" w:eastAsia="宋体"/>
          <w:b/>
          <w:bCs/>
          <w:sz w:val="24"/>
        </w:rPr>
        <w:fldChar w:fldCharType="separate"/>
      </w:r>
      <w:r>
        <w:t>6</w:t>
      </w:r>
      <w:r>
        <w:fldChar w:fldCharType="end"/>
      </w:r>
      <w:r>
        <w:fldChar w:fldCharType="end"/>
      </w:r>
    </w:p>
    <w:p>
      <w:pPr>
        <w:tabs>
          <w:tab w:val="left" w:leader="dot" w:pos="9469"/>
        </w:tabs>
      </w:pPr>
      <w:r>
        <w:fldChar w:fldCharType="begin"/>
      </w:r>
      <w:r>
        <w:instrText xml:space="preserve"> HYPERLINK \l "_Toc988902" </w:instrText>
      </w:r>
      <w:r>
        <w:fldChar w:fldCharType="separate"/>
      </w:r>
      <w:r>
        <w:rPr>
          <w:rFonts w:hint="eastAsia" w:ascii="宋体" w:hAnsi="宋体" w:eastAsia="宋体"/>
          <w:b/>
          <w:bCs/>
          <w:sz w:val="24"/>
        </w:rPr>
        <w:t>第三节 管理层讨论与分析</w:t>
      </w:r>
      <w:r>
        <w:tab/>
      </w:r>
      <w:r>
        <w:fldChar w:fldCharType="begin"/>
      </w:r>
      <w:r>
        <w:instrText xml:space="preserve"> PAGEREF _Toc988902 \h </w:instrText>
      </w:r>
      <w:r>
        <w:rPr>
          <w:rFonts w:hint="eastAsia" w:ascii="宋体" w:hAnsi="宋体" w:eastAsia="宋体"/>
          <w:b/>
          <w:bCs/>
          <w:sz w:val="24"/>
        </w:rPr>
        <w:fldChar w:fldCharType="separate"/>
      </w:r>
      <w:r>
        <w:t>10</w:t>
      </w:r>
      <w:r>
        <w:fldChar w:fldCharType="end"/>
      </w:r>
      <w:r>
        <w:fldChar w:fldCharType="end"/>
      </w:r>
    </w:p>
    <w:p>
      <w:pPr>
        <w:tabs>
          <w:tab w:val="left" w:leader="dot" w:pos="9469"/>
        </w:tabs>
      </w:pPr>
      <w:r>
        <w:fldChar w:fldCharType="begin"/>
      </w:r>
      <w:r>
        <w:instrText xml:space="preserve"> HYPERLINK \l "_Toc988943" </w:instrText>
      </w:r>
      <w:r>
        <w:fldChar w:fldCharType="separate"/>
      </w:r>
      <w:r>
        <w:rPr>
          <w:rFonts w:hint="eastAsia" w:ascii="宋体" w:hAnsi="宋体" w:eastAsia="宋体"/>
          <w:b/>
          <w:bCs/>
          <w:sz w:val="24"/>
        </w:rPr>
        <w:t>第四节 公司治理</w:t>
      </w:r>
      <w:r>
        <w:tab/>
      </w:r>
      <w:r>
        <w:fldChar w:fldCharType="begin"/>
      </w:r>
      <w:r>
        <w:instrText xml:space="preserve"> PAGEREF _Toc988943 \h </w:instrText>
      </w:r>
      <w:r>
        <w:rPr>
          <w:rFonts w:hint="eastAsia" w:ascii="宋体" w:hAnsi="宋体" w:eastAsia="宋体"/>
          <w:b/>
          <w:bCs/>
          <w:sz w:val="24"/>
        </w:rPr>
        <w:fldChar w:fldCharType="separate"/>
      </w:r>
      <w:r>
        <w:t>28</w:t>
      </w:r>
      <w:r>
        <w:fldChar w:fldCharType="end"/>
      </w:r>
      <w:r>
        <w:fldChar w:fldCharType="end"/>
      </w:r>
    </w:p>
    <w:p>
      <w:pPr>
        <w:tabs>
          <w:tab w:val="left" w:leader="dot" w:pos="9469"/>
        </w:tabs>
      </w:pPr>
      <w:r>
        <w:fldChar w:fldCharType="begin"/>
      </w:r>
      <w:r>
        <w:instrText xml:space="preserve"> HYPERLINK \l "_Toc988976" </w:instrText>
      </w:r>
      <w:r>
        <w:fldChar w:fldCharType="separate"/>
      </w:r>
      <w:r>
        <w:rPr>
          <w:rFonts w:hint="eastAsia" w:ascii="宋体" w:hAnsi="宋体" w:eastAsia="宋体"/>
          <w:b/>
          <w:bCs/>
          <w:sz w:val="24"/>
        </w:rPr>
        <w:t>第五节 环境和社会责任</w:t>
      </w:r>
      <w:r>
        <w:tab/>
      </w:r>
      <w:r>
        <w:fldChar w:fldCharType="begin"/>
      </w:r>
      <w:r>
        <w:instrText xml:space="preserve"> PAGEREF _Toc988976 \h </w:instrText>
      </w:r>
      <w:r>
        <w:rPr>
          <w:rFonts w:hint="eastAsia" w:ascii="宋体" w:hAnsi="宋体" w:eastAsia="宋体"/>
          <w:b/>
          <w:bCs/>
          <w:sz w:val="24"/>
        </w:rPr>
        <w:fldChar w:fldCharType="separate"/>
      </w:r>
      <w:r>
        <w:t>42</w:t>
      </w:r>
      <w:r>
        <w:fldChar w:fldCharType="end"/>
      </w:r>
      <w:r>
        <w:fldChar w:fldCharType="end"/>
      </w:r>
    </w:p>
    <w:p>
      <w:pPr>
        <w:tabs>
          <w:tab w:val="left" w:leader="dot" w:pos="9469"/>
        </w:tabs>
      </w:pPr>
      <w:r>
        <w:fldChar w:fldCharType="begin"/>
      </w:r>
      <w:r>
        <w:instrText xml:space="preserve"> HYPERLINK \l "_Toc988980" </w:instrText>
      </w:r>
      <w:r>
        <w:fldChar w:fldCharType="separate"/>
      </w:r>
      <w:r>
        <w:rPr>
          <w:rFonts w:hint="eastAsia" w:ascii="宋体" w:hAnsi="宋体" w:eastAsia="宋体"/>
          <w:b/>
          <w:bCs/>
          <w:sz w:val="24"/>
        </w:rPr>
        <w:t>第六节 重要事项</w:t>
      </w:r>
      <w:r>
        <w:tab/>
      </w:r>
      <w:r>
        <w:fldChar w:fldCharType="begin"/>
      </w:r>
      <w:r>
        <w:instrText xml:space="preserve"> PAGEREF _Toc988980 \h </w:instrText>
      </w:r>
      <w:r>
        <w:rPr>
          <w:rFonts w:hint="eastAsia" w:ascii="宋体" w:hAnsi="宋体" w:eastAsia="宋体"/>
          <w:b/>
          <w:bCs/>
          <w:sz w:val="24"/>
        </w:rPr>
        <w:fldChar w:fldCharType="separate"/>
      </w:r>
      <w:r>
        <w:t>43</w:t>
      </w:r>
      <w:r>
        <w:fldChar w:fldCharType="end"/>
      </w:r>
      <w:r>
        <w:fldChar w:fldCharType="end"/>
      </w:r>
    </w:p>
    <w:p>
      <w:pPr>
        <w:tabs>
          <w:tab w:val="left" w:leader="dot" w:pos="9469"/>
        </w:tabs>
      </w:pPr>
      <w:r>
        <w:fldChar w:fldCharType="begin"/>
      </w:r>
      <w:r>
        <w:instrText xml:space="preserve"> HYPERLINK \l "_Toc989016" </w:instrText>
      </w:r>
      <w:r>
        <w:fldChar w:fldCharType="separate"/>
      </w:r>
      <w:r>
        <w:rPr>
          <w:rFonts w:hint="eastAsia" w:ascii="宋体" w:hAnsi="宋体" w:eastAsia="宋体"/>
          <w:b/>
          <w:bCs/>
          <w:sz w:val="24"/>
        </w:rPr>
        <w:t>第七节 股份变动及股东情况</w:t>
      </w:r>
      <w:r>
        <w:tab/>
      </w:r>
      <w:r>
        <w:fldChar w:fldCharType="begin"/>
      </w:r>
      <w:r>
        <w:instrText xml:space="preserve"> PAGEREF _Toc989016 \h </w:instrText>
      </w:r>
      <w:r>
        <w:rPr>
          <w:rFonts w:hint="eastAsia" w:ascii="宋体" w:hAnsi="宋体" w:eastAsia="宋体"/>
          <w:b/>
          <w:bCs/>
          <w:sz w:val="24"/>
        </w:rPr>
        <w:fldChar w:fldCharType="separate"/>
      </w:r>
      <w:r>
        <w:t>52</w:t>
      </w:r>
      <w:r>
        <w:fldChar w:fldCharType="end"/>
      </w:r>
      <w:r>
        <w:fldChar w:fldCharType="end"/>
      </w:r>
    </w:p>
    <w:p>
      <w:pPr>
        <w:tabs>
          <w:tab w:val="left" w:leader="dot" w:pos="9469"/>
        </w:tabs>
      </w:pPr>
      <w:r>
        <w:fldChar w:fldCharType="begin"/>
      </w:r>
      <w:r>
        <w:instrText xml:space="preserve"> HYPERLINK \l "_Toc989032" </w:instrText>
      </w:r>
      <w:r>
        <w:fldChar w:fldCharType="separate"/>
      </w:r>
      <w:r>
        <w:rPr>
          <w:rFonts w:hint="eastAsia" w:ascii="宋体" w:hAnsi="宋体" w:eastAsia="宋体"/>
          <w:b/>
          <w:bCs/>
          <w:sz w:val="24"/>
        </w:rPr>
        <w:t>第八节 优先股相关情况</w:t>
      </w:r>
      <w:r>
        <w:tab/>
      </w:r>
      <w:r>
        <w:fldChar w:fldCharType="begin"/>
      </w:r>
      <w:r>
        <w:instrText xml:space="preserve"> PAGEREF _Toc989032 \h </w:instrText>
      </w:r>
      <w:r>
        <w:rPr>
          <w:rFonts w:hint="eastAsia" w:ascii="宋体" w:hAnsi="宋体" w:eastAsia="宋体"/>
          <w:b/>
          <w:bCs/>
          <w:sz w:val="24"/>
        </w:rPr>
        <w:fldChar w:fldCharType="separate"/>
      </w:r>
      <w:r>
        <w:t>58</w:t>
      </w:r>
      <w:r>
        <w:fldChar w:fldCharType="end"/>
      </w:r>
      <w:r>
        <w:fldChar w:fldCharType="end"/>
      </w:r>
    </w:p>
    <w:p>
      <w:pPr>
        <w:tabs>
          <w:tab w:val="left" w:leader="dot" w:pos="9469"/>
        </w:tabs>
      </w:pPr>
      <w:r>
        <w:fldChar w:fldCharType="begin"/>
      </w:r>
      <w:r>
        <w:instrText xml:space="preserve"> HYPERLINK \l "_Toc989033" </w:instrText>
      </w:r>
      <w:r>
        <w:fldChar w:fldCharType="separate"/>
      </w:r>
      <w:r>
        <w:rPr>
          <w:rFonts w:hint="eastAsia" w:ascii="宋体" w:hAnsi="宋体" w:eastAsia="宋体"/>
          <w:b/>
          <w:bCs/>
          <w:sz w:val="24"/>
        </w:rPr>
        <w:t>第九节 债券相关情况</w:t>
      </w:r>
      <w:r>
        <w:tab/>
      </w:r>
      <w:r>
        <w:fldChar w:fldCharType="begin"/>
      </w:r>
      <w:r>
        <w:instrText xml:space="preserve"> PAGEREF _Toc989033 \h </w:instrText>
      </w:r>
      <w:r>
        <w:rPr>
          <w:rFonts w:hint="eastAsia" w:ascii="宋体" w:hAnsi="宋体" w:eastAsia="宋体"/>
          <w:b/>
          <w:bCs/>
          <w:sz w:val="24"/>
        </w:rPr>
        <w:fldChar w:fldCharType="separate"/>
      </w:r>
      <w:r>
        <w:t>59</w:t>
      </w:r>
      <w:r>
        <w:fldChar w:fldCharType="end"/>
      </w:r>
      <w:r>
        <w:fldChar w:fldCharType="end"/>
      </w:r>
    </w:p>
    <w:p>
      <w:pPr>
        <w:tabs>
          <w:tab w:val="left" w:leader="dot" w:pos="9469"/>
        </w:tabs>
      </w:pPr>
      <w:r>
        <w:fldChar w:fldCharType="begin"/>
      </w:r>
      <w:r>
        <w:instrText xml:space="preserve"> HYPERLINK \l "_Toc989034" </w:instrText>
      </w:r>
      <w:r>
        <w:fldChar w:fldCharType="separate"/>
      </w:r>
      <w:r>
        <w:rPr>
          <w:rFonts w:hint="eastAsia" w:ascii="宋体" w:hAnsi="宋体" w:eastAsia="宋体"/>
          <w:b/>
          <w:bCs/>
          <w:sz w:val="24"/>
        </w:rPr>
        <w:t>第十节 财务报告</w:t>
      </w:r>
      <w:r>
        <w:tab/>
      </w:r>
      <w:r>
        <w:fldChar w:fldCharType="begin"/>
      </w:r>
      <w:r>
        <w:instrText xml:space="preserve"> PAGEREF _Toc989034 \h </w:instrText>
      </w:r>
      <w:r>
        <w:rPr>
          <w:rFonts w:hint="eastAsia" w:ascii="宋体" w:hAnsi="宋体" w:eastAsia="宋体"/>
          <w:b/>
          <w:bCs/>
          <w:sz w:val="24"/>
        </w:rPr>
        <w:fldChar w:fldCharType="separate"/>
      </w:r>
      <w:r>
        <w:t>60</w:t>
      </w:r>
      <w:r>
        <w:fldChar w:fldCharType="end"/>
      </w:r>
      <w:r>
        <w:fldChar w:fldCharType="end"/>
      </w:r>
      <w:r>
        <w:fldChar w:fldCharType="end"/>
      </w:r>
    </w:p>
    <w:p>
      <w:r>
        <w:br w:type="page"/>
      </w:r>
    </w:p>
    <w:p>
      <w:pPr>
        <w:spacing w:before="0" w:after="0" w:line="640" w:lineRule="exact"/>
        <w:jc w:val="center"/>
        <w:rPr>
          <w:rFonts w:ascii="宋体" w:hAnsi="宋体" w:eastAsia="宋体" w:cs="宋体"/>
          <w:b/>
          <w:bCs/>
          <w:sz w:val="32"/>
          <w:szCs w:val="32"/>
        </w:rPr>
      </w:pPr>
      <w:r>
        <w:rPr>
          <w:rFonts w:ascii="宋体" w:hAnsi="宋体" w:eastAsia="宋体" w:cs="宋体"/>
          <w:b/>
          <w:bCs/>
          <w:sz w:val="32"/>
          <w:szCs w:val="32"/>
        </w:rPr>
        <w:t>备查文件目录</w:t>
      </w:r>
    </w:p>
    <w:p>
      <w:pPr>
        <w:pStyle w:val="8"/>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(一)载有公司负责人、主管会计工作负责人、会计机构负责人(会计主管人员)签名并盖章的财务报表。</w:t>
      </w:r>
    </w:p>
    <w:p>
      <w:pPr>
        <w:pStyle w:val="8"/>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(二)载有会计师事务所盖章、注册会计师签名并盖章的审计报告原件。</w:t>
      </w:r>
    </w:p>
    <w:p>
      <w:pPr>
        <w:pStyle w:val="8"/>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(三)报告期内公开披露过的所有公司文件的正本及公告的原稿。</w:t>
      </w:r>
    </w:p>
    <w:p>
      <w:r>
        <w:br w:type="page"/>
      </w:r>
    </w:p>
    <w:p>
      <w:pPr>
        <w:spacing w:before="40" w:after="40" w:line="560" w:lineRule="exact"/>
        <w:jc w:val="center"/>
        <w:rPr>
          <w:rFonts w:ascii="宋体" w:hAnsi="宋体" w:eastAsia="宋体" w:cs="宋体"/>
          <w:b/>
          <w:bCs/>
          <w:sz w:val="32"/>
          <w:szCs w:val="32"/>
        </w:rPr>
      </w:pPr>
      <w:r>
        <w:rPr>
          <w:rFonts w:ascii="宋体" w:hAnsi="宋体" w:eastAsia="宋体" w:cs="宋体"/>
          <w:b/>
          <w:bCs/>
          <w:sz w:val="32"/>
          <w:szCs w:val="32"/>
        </w:rPr>
        <w:t>释义</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772"/>
        <w:gridCol w:w="1275"/>
        <w:gridCol w:w="4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释义项</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证监会</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中国证劵监督管理委员会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深交所</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深圳证劵交易所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登记公司深圳分公司</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中国证劵登记结算有限责任公司深圳分公司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公司、本公司、特力集团</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深圳市特力（集团）股份有限公司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报告期、本报告期、本年度</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深圳市国资委</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深圳市人民政府国有资产监督管理委员会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特发、特发集团、控股股东</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深投控</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深圳市投资控股有限公司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深珠宝公司</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深圳珠宝产业服务有限公司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国润、国润黄金</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宝库供应链公司、宝库公司</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深圳市特力宝库供应链科技有限公司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上海泛粤、泛粤</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上海泛粤钻石有限公司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中天公司</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深圳市中天实业有限公司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汽车工贸公司</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深圳市汽车工业贸易有限公司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特发华日</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深圳特发华日汽车企业有限公司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华日丰田</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仁孚特力</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中宝协</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中国珠宝玉石首饰行业协会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特力珠宝大厦、珠宝大厦</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特力水贝珠宝大厦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特力金钻大厦、金钻大厦</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特力金钻交易大厦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综贸平台</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4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深圳国际珠宝玉石综合贸易平台</w:t>
            </w:r>
          </w:p>
        </w:tc>
      </w:tr>
    </w:tbl>
    <w:p>
      <w:r>
        <w:br w:type="page"/>
      </w:r>
    </w:p>
    <w:p>
      <w:pPr>
        <w:keepNext/>
        <w:keepLines/>
        <w:spacing w:before="340" w:after="330" w:line="773" w:lineRule="exact"/>
        <w:jc w:val="center"/>
        <w:outlineLvl w:val="0"/>
        <w:rPr>
          <w:rFonts w:ascii="宋体" w:hAnsi="宋体" w:eastAsia="宋体" w:cs="宋体"/>
          <w:b/>
          <w:bCs/>
          <w:sz w:val="32"/>
          <w:szCs w:val="32"/>
        </w:rPr>
      </w:pPr>
      <w:bookmarkStart w:id="1" w:name="_Toc988890"/>
      <w:r>
        <w:rPr>
          <w:rFonts w:ascii="宋体" w:hAnsi="宋体" w:eastAsia="宋体" w:cs="宋体"/>
          <w:b/>
          <w:bCs/>
          <w:sz w:val="32"/>
          <w:szCs w:val="32"/>
        </w:rPr>
        <w:t>第二节 公司简介和主要财务指标</w:t>
      </w:r>
      <w:bookmarkEnd w:id="1"/>
    </w:p>
    <w:p>
      <w:pPr>
        <w:keepNext/>
        <w:keepLines/>
        <w:spacing w:before="300" w:after="300" w:line="320" w:lineRule="exact"/>
        <w:jc w:val="left"/>
        <w:outlineLvl w:val="1"/>
        <w:rPr>
          <w:rFonts w:ascii="宋体" w:hAnsi="宋体" w:eastAsia="宋体" w:cs="宋体"/>
          <w:b/>
          <w:bCs/>
          <w:sz w:val="24"/>
          <w:szCs w:val="24"/>
        </w:rPr>
      </w:pPr>
      <w:bookmarkStart w:id="2" w:name="_Toc988891"/>
      <w:r>
        <w:rPr>
          <w:rFonts w:ascii="宋体" w:hAnsi="宋体" w:eastAsia="宋体" w:cs="宋体"/>
          <w:b/>
          <w:bCs/>
          <w:sz w:val="24"/>
          <w:szCs w:val="24"/>
        </w:rPr>
        <w:t>一、公司信息</w:t>
      </w:r>
      <w:bookmarkEnd w:id="2"/>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股票简称</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特力A、特力B</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股票代码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000025、200025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变更前的股票简称（如有）</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股票上市证券交易所</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公司的中文名称</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深圳市特力(集团)股份有限公司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公司的中文简称</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特力A</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公司的外文名称（如有）</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ShenZhen Tellus Holding Co.,Ltd.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公司的外文名称缩写（如有）</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公司的法定代表人</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注册地址</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深圳市罗湖区水贝二路五十六号特力大厦三楼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注册地址的邮政编码</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518020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深圳市罗湖区水贝二路五十六号特力大厦三楼、四楼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办公地址的邮政编码</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518020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公司网址</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www.tellus.cn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7230"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ir@tellus.cn</w:t>
            </w:r>
          </w:p>
        </w:tc>
      </w:tr>
    </w:tbl>
    <w:p>
      <w:pPr>
        <w:keepNext/>
        <w:keepLines/>
        <w:spacing w:before="300" w:after="300" w:line="320" w:lineRule="exact"/>
        <w:jc w:val="left"/>
        <w:outlineLvl w:val="1"/>
        <w:rPr>
          <w:rFonts w:ascii="宋体" w:hAnsi="宋体" w:eastAsia="宋体" w:cs="宋体"/>
          <w:b/>
          <w:bCs/>
          <w:sz w:val="24"/>
          <w:szCs w:val="24"/>
        </w:rPr>
      </w:pPr>
      <w:bookmarkStart w:id="3" w:name="_Toc988892"/>
      <w:r>
        <w:rPr>
          <w:rFonts w:ascii="宋体" w:hAnsi="宋体" w:eastAsia="宋体" w:cs="宋体"/>
          <w:b/>
          <w:bCs/>
          <w:sz w:val="24"/>
          <w:szCs w:val="24"/>
        </w:rPr>
        <w:t>二、联系人和联系方式</w:t>
      </w:r>
      <w:bookmarkEnd w:id="3"/>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64"/>
        <w:gridCol w:w="3867"/>
        <w:gridCol w:w="43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8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43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姓名</w:t>
            </w:r>
          </w:p>
        </w:tc>
        <w:tc>
          <w:tcPr>
            <w:tcW w:w="3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祁鹏</w:t>
            </w:r>
          </w:p>
        </w:tc>
        <w:tc>
          <w:tcPr>
            <w:tcW w:w="4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刘梦蕾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联系地址</w:t>
            </w:r>
          </w:p>
        </w:tc>
        <w:tc>
          <w:tcPr>
            <w:tcW w:w="3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深圳市罗湖区水贝二路五十六号特力大厦三楼</w:t>
            </w:r>
          </w:p>
        </w:tc>
        <w:tc>
          <w:tcPr>
            <w:tcW w:w="4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深圳市罗湖区水贝二路五十六号特力大厦三楼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电话</w:t>
            </w:r>
          </w:p>
        </w:tc>
        <w:tc>
          <w:tcPr>
            <w:tcW w:w="3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（0755）83989390</w:t>
            </w:r>
          </w:p>
        </w:tc>
        <w:tc>
          <w:tcPr>
            <w:tcW w:w="4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（0755）88394183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传真</w:t>
            </w:r>
          </w:p>
        </w:tc>
        <w:tc>
          <w:tcPr>
            <w:tcW w:w="3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（0755）83989386</w:t>
            </w:r>
          </w:p>
        </w:tc>
        <w:tc>
          <w:tcPr>
            <w:tcW w:w="4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（0755）83989386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3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ir@tellus.cn</w:t>
            </w:r>
          </w:p>
        </w:tc>
        <w:tc>
          <w:tcPr>
            <w:tcW w:w="4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liuml@tellus.cn</w:t>
            </w:r>
          </w:p>
        </w:tc>
      </w:tr>
    </w:tbl>
    <w:p>
      <w:pPr>
        <w:keepNext/>
        <w:keepLines/>
        <w:spacing w:before="300" w:after="300" w:line="320" w:lineRule="exact"/>
        <w:jc w:val="left"/>
        <w:outlineLvl w:val="1"/>
        <w:rPr>
          <w:rFonts w:ascii="宋体" w:hAnsi="宋体" w:eastAsia="宋体" w:cs="宋体"/>
          <w:b/>
          <w:bCs/>
          <w:sz w:val="24"/>
          <w:szCs w:val="24"/>
        </w:rPr>
      </w:pPr>
      <w:bookmarkStart w:id="4" w:name="_Toc988893"/>
      <w:r>
        <w:rPr>
          <w:rFonts w:ascii="宋体" w:hAnsi="宋体" w:eastAsia="宋体" w:cs="宋体"/>
          <w:b/>
          <w:bCs/>
          <w:sz w:val="24"/>
          <w:szCs w:val="24"/>
        </w:rPr>
        <w:t>三、信息披露及备置地点</w:t>
      </w:r>
      <w:bookmarkEnd w:id="4"/>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497"/>
        <w:gridCol w:w="51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公司披露年度报告的证券交易所网站</w:t>
            </w:r>
          </w:p>
        </w:tc>
        <w:tc>
          <w:tcPr>
            <w:tcW w:w="5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深圳证券交易所（www.szse.cn）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公司披露年度报告的媒体名称及网址</w:t>
            </w:r>
          </w:p>
        </w:tc>
        <w:tc>
          <w:tcPr>
            <w:tcW w:w="5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《证券时报》、巨潮资讯网（www.cninfo.com.cn）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公司年度报告备置地点</w:t>
            </w:r>
          </w:p>
        </w:tc>
        <w:tc>
          <w:tcPr>
            <w:tcW w:w="5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深圳市特力（集团）股份有限公司董事会秘书处</w:t>
            </w:r>
          </w:p>
        </w:tc>
      </w:tr>
    </w:tbl>
    <w:p>
      <w:pPr>
        <w:keepNext/>
        <w:keepLines/>
        <w:spacing w:before="300" w:after="300" w:line="320" w:lineRule="exact"/>
        <w:jc w:val="left"/>
        <w:outlineLvl w:val="1"/>
        <w:rPr>
          <w:rFonts w:ascii="宋体" w:hAnsi="宋体" w:eastAsia="宋体" w:cs="宋体"/>
          <w:b/>
          <w:bCs/>
          <w:sz w:val="24"/>
          <w:szCs w:val="24"/>
        </w:rPr>
      </w:pPr>
      <w:bookmarkStart w:id="5" w:name="_Toc988894"/>
      <w:r>
        <w:rPr>
          <w:rFonts w:ascii="宋体" w:hAnsi="宋体" w:eastAsia="宋体" w:cs="宋体"/>
          <w:b/>
          <w:bCs/>
          <w:sz w:val="24"/>
          <w:szCs w:val="24"/>
        </w:rPr>
        <w:t>四、注册变更情况</w:t>
      </w:r>
      <w:bookmarkEnd w:id="5"/>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006"/>
        <w:gridCol w:w="66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统一社会信用代码</w:t>
            </w:r>
          </w:p>
        </w:tc>
        <w:tc>
          <w:tcPr>
            <w:tcW w:w="6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91440300192192210U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公司上市以来主营业务的变化情况</w:t>
            </w:r>
          </w:p>
        </w:tc>
        <w:tc>
          <w:tcPr>
            <w:tcW w:w="6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随着公司战略转型升级及华日丰田的解散，汽车销售、检测、维修及配件销售不再做为公司主营业务。公司报告期内的主营业务是珠宝第三方服务、商业综合体运营及物业租赁业务。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历次控股股东的变更情况</w:t>
            </w:r>
          </w:p>
        </w:tc>
        <w:tc>
          <w:tcPr>
            <w:tcW w:w="6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1997年3月31日，公司总股本为22,028.16万股，本公司唯一非流通股东深圳市投资管理公司将持有的15,958.80万股国家股划转给深圳市特发集团有限公司持有，其中特发集团持有15,958.80万股,占总股本的72.45%，股份性质为国家股。</w:t>
            </w:r>
          </w:p>
          <w:p>
            <w:pPr>
              <w:numPr>
                <w:ilvl w:val="0"/>
                <w:numId w:val="1"/>
              </w:numPr>
              <w:spacing w:before="0" w:after="0" w:line="240" w:lineRule="exact"/>
              <w:jc w:val="left"/>
              <w:rPr>
                <w:rFonts w:ascii="宋体" w:hAnsi="宋体" w:eastAsia="宋体" w:cs="宋体"/>
                <w:sz w:val="18"/>
                <w:szCs w:val="18"/>
              </w:rPr>
            </w:pPr>
            <w:r>
              <w:rPr>
                <w:rFonts w:ascii="宋体" w:hAnsi="宋体" w:eastAsia="宋体" w:cs="宋体"/>
                <w:sz w:val="18"/>
                <w:szCs w:val="18"/>
              </w:rPr>
              <w:t>后特发集团作为公司控股股东，历经股权分置改革、本公司非公开发行A股股票、减持本公司部分无限售条件流通股，截至本报告期末，特发集团共持有公司股份211,591,621股，占公司总股本的49.09%，为本公司控股股东；其中，特发集团持有公司有表决权股份210,391,621股,占公司总股本的48.81%,处于转融通业务出借状态的股份数量为1,200,000股，占公司总股本的0.28%。</w:t>
            </w:r>
          </w:p>
          <w:p>
            <w:pPr>
              <w:numPr>
                <w:ilvl w:val="0"/>
                <w:numId w:val="0"/>
              </w:numPr>
              <w:spacing w:before="0" w:after="0" w:line="240" w:lineRule="exact"/>
              <w:jc w:val="left"/>
              <w:rPr>
                <w:rFonts w:ascii="宋体" w:hAnsi="宋体" w:eastAsia="宋体" w:cs="宋体"/>
                <w:sz w:val="18"/>
                <w:szCs w:val="18"/>
              </w:rPr>
            </w:pPr>
            <w:r>
              <w:rPr>
                <w:rFonts w:ascii="宋体" w:hAnsi="宋体" w:eastAsia="宋体" w:cs="宋体"/>
                <w:sz w:val="18"/>
                <w:szCs w:val="18"/>
              </w:rPr>
              <w:t>3、2022年12月28日，深圳市国资委与其全资子公司深投控签署了《表决权委托协议》，深圳市国资委将所持有的特发集团 38.97%股东会表决权通过协议方式委托给其全资子公司深投控行使，进而使深投控通过特发集团间接拥有本公司权益。本次表决权协议委托的实施不会导致公司直接控股股东发生变化，间接控股股东由深圳市国资委变更为其全资子公司深投控。</w:t>
            </w:r>
          </w:p>
        </w:tc>
      </w:tr>
    </w:tbl>
    <w:p>
      <w:pPr>
        <w:keepNext/>
        <w:keepLines/>
        <w:spacing w:before="300" w:after="300" w:line="320" w:lineRule="exact"/>
        <w:jc w:val="left"/>
        <w:outlineLvl w:val="1"/>
        <w:rPr>
          <w:rFonts w:ascii="宋体" w:hAnsi="宋体" w:eastAsia="宋体" w:cs="宋体"/>
          <w:b/>
          <w:bCs/>
          <w:sz w:val="24"/>
          <w:szCs w:val="24"/>
        </w:rPr>
      </w:pPr>
      <w:bookmarkStart w:id="6" w:name="_Toc988895"/>
      <w:r>
        <w:rPr>
          <w:rFonts w:ascii="宋体" w:hAnsi="宋体" w:eastAsia="宋体" w:cs="宋体"/>
          <w:b/>
          <w:bCs/>
          <w:sz w:val="24"/>
          <w:szCs w:val="24"/>
        </w:rPr>
        <w:t>五、其他有关资料</w:t>
      </w:r>
      <w:bookmarkEnd w:id="6"/>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公司聘请的会计师事务所</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会计师事务所名称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致同会计师事务所（特殊普通合伙）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会计师事务所办公地址</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北京市朝阳区建国门外大街22号赛特广场五层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签字会计师姓名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吴亮、谢明明</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公司聘请的报告期内履行持续督导职责的保荐机构</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公司聘请的报告期内履行持续督导职责的财务顾问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7" w:name="_Toc988896"/>
      <w:r>
        <w:rPr>
          <w:rFonts w:ascii="宋体" w:hAnsi="宋体" w:eastAsia="宋体" w:cs="宋体"/>
          <w:b/>
          <w:bCs/>
          <w:sz w:val="24"/>
          <w:szCs w:val="24"/>
        </w:rPr>
        <w:t>六、主要会计数据和财务指标</w:t>
      </w:r>
      <w:bookmarkEnd w:id="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373"/>
        <w:gridCol w:w="1770"/>
        <w:gridCol w:w="1750"/>
        <w:gridCol w:w="1960"/>
        <w:gridCol w:w="17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17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9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本年比上年增减</w:t>
            </w:r>
          </w:p>
        </w:tc>
        <w:tc>
          <w:tcPr>
            <w:tcW w:w="17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120.46%</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508,520,026.18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118,255,140.84</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41.63%</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131,020,764.38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90,386,717.21</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63,268,802.52</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42.86%</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71,731,038.87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val="en-US" w:eastAsia="zh-CN"/>
              </w:rPr>
            </w:pPr>
            <w:r>
              <w:rPr>
                <w:rFonts w:ascii="宋体" w:hAnsi="宋体" w:eastAsia="宋体" w:cs="宋体"/>
                <w:sz w:val="18"/>
                <w:szCs w:val="18"/>
              </w:rPr>
              <w:t>-60,140,006.46</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-51,967,764.29</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-15.73%</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126,611,734.90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0.1937</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41.61%</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0.1937</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41.61%</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2023年末</w:t>
            </w:r>
          </w:p>
        </w:tc>
        <w:tc>
          <w:tcPr>
            <w:tcW w:w="17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2022年末</w:t>
            </w:r>
          </w:p>
        </w:tc>
        <w:tc>
          <w:tcPr>
            <w:tcW w:w="19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本年末比上年末增减</w:t>
            </w:r>
          </w:p>
        </w:tc>
        <w:tc>
          <w:tcPr>
            <w:tcW w:w="17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总资产（元）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2,403,851,684.45</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2,232,028,554.57</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1,859,645,205.43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归属于上市公司股东的净资产（元）</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1,603,905,054.93</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1,505,638,863.31</w:t>
            </w:r>
          </w:p>
        </w:tc>
        <w:tc>
          <w:tcPr>
            <w:tcW w:w="1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6.53%</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1,432,924,273.45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公司最近三个会计年度扣除非经常性损益前后净利润孰低者均为负值，且最近一年审计报告显示公司持续经营能力存在不确定性</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扣除非经常损益前后的净利润孰低者为负值</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8" w:name="_Toc988897"/>
      <w:r>
        <w:rPr>
          <w:rFonts w:ascii="宋体" w:hAnsi="宋体" w:eastAsia="宋体" w:cs="宋体"/>
          <w:b/>
          <w:bCs/>
          <w:sz w:val="24"/>
          <w:szCs w:val="24"/>
        </w:rPr>
        <w:t>七、境内外会计准则下会计数据差异</w:t>
      </w:r>
      <w:bookmarkEnd w:id="8"/>
    </w:p>
    <w:p>
      <w:pPr>
        <w:keepNext/>
        <w:keepLines/>
        <w:spacing w:before="300" w:after="300" w:line="280" w:lineRule="exact"/>
        <w:jc w:val="left"/>
        <w:outlineLvl w:val="2"/>
        <w:rPr>
          <w:rFonts w:ascii="宋体" w:hAnsi="宋体" w:eastAsia="宋体" w:cs="宋体"/>
          <w:b/>
          <w:bCs/>
          <w:sz w:val="21"/>
          <w:szCs w:val="21"/>
        </w:rPr>
      </w:pPr>
      <w:bookmarkStart w:id="9" w:name="_Toc988898"/>
      <w:r>
        <w:rPr>
          <w:rFonts w:ascii="宋体" w:hAnsi="宋体" w:eastAsia="宋体" w:cs="宋体"/>
          <w:b/>
          <w:bCs/>
          <w:sz w:val="21"/>
          <w:szCs w:val="21"/>
        </w:rPr>
        <w:t>1、同时按照国际会计准则与按照中国会计准则披露的财务报告中净利润和净资产差异情况</w:t>
      </w:r>
      <w:bookmarkEnd w:id="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公司报告期不存在按照国际会计准则与按照中国会计准则披露的财务报告中净利润和净资产差异情况。</w:t>
      </w:r>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2、同时按照境外会计准则与按照中国会计准则披露的财务报告中净利润和净资产差异情况</w:t>
      </w:r>
      <w:bookmarkEnd w:id="1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公司报告期不存在按照境外会计准则与按照中国会计准则披露的财务报告中净利润和净资产差异情况。</w:t>
      </w:r>
    </w:p>
    <w:p>
      <w:pPr>
        <w:keepNext/>
        <w:keepLines/>
        <w:spacing w:before="300" w:after="300" w:line="320" w:lineRule="exact"/>
        <w:jc w:val="left"/>
        <w:outlineLvl w:val="1"/>
        <w:rPr>
          <w:rFonts w:ascii="宋体" w:hAnsi="宋体" w:eastAsia="宋体" w:cs="宋体"/>
          <w:b/>
          <w:bCs/>
          <w:sz w:val="24"/>
          <w:szCs w:val="24"/>
        </w:rPr>
      </w:pPr>
      <w:bookmarkStart w:id="11" w:name="_Toc988900"/>
      <w:r>
        <w:rPr>
          <w:rFonts w:ascii="宋体" w:hAnsi="宋体" w:eastAsia="宋体" w:cs="宋体"/>
          <w:b/>
          <w:bCs/>
          <w:sz w:val="24"/>
          <w:szCs w:val="24"/>
        </w:rPr>
        <w:t>八、分季度主要财务指标</w:t>
      </w:r>
      <w:bookmarkEnd w:id="11"/>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3"/>
        <w:gridCol w:w="1770"/>
        <w:gridCol w:w="1760"/>
        <w:gridCol w:w="1750"/>
        <w:gridCol w:w="16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第一季度</w:t>
            </w:r>
          </w:p>
        </w:tc>
        <w:tc>
          <w:tcPr>
            <w:tcW w:w="17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第二季度</w:t>
            </w:r>
          </w:p>
        </w:tc>
        <w:tc>
          <w:tcPr>
            <w:tcW w:w="17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第三季度</w:t>
            </w:r>
          </w:p>
        </w:tc>
        <w:tc>
          <w:tcPr>
            <w:tcW w:w="16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第四季度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339,838,493.18</w:t>
            </w:r>
          </w:p>
        </w:tc>
        <w:tc>
          <w:tcPr>
            <w:tcW w:w="17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364,997,917.76</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515,753,123.42</w:t>
            </w:r>
          </w:p>
        </w:tc>
        <w:tc>
          <w:tcPr>
            <w:tcW w:w="1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626,149,307.53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25,274,084.85</w:t>
            </w:r>
          </w:p>
        </w:tc>
        <w:tc>
          <w:tcPr>
            <w:tcW w:w="17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18,865,878.08</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29,564,804.35</w:t>
            </w:r>
          </w:p>
        </w:tc>
        <w:tc>
          <w:tcPr>
            <w:tcW w:w="1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44,550,373.56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20,388,932.14</w:t>
            </w:r>
          </w:p>
        </w:tc>
        <w:tc>
          <w:tcPr>
            <w:tcW w:w="17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17,261,748.79</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26,008,890.62</w:t>
            </w:r>
          </w:p>
        </w:tc>
        <w:tc>
          <w:tcPr>
            <w:tcW w:w="1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26,727,145.66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7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-43,397,996.76</w:t>
            </w:r>
          </w:p>
        </w:tc>
        <w:tc>
          <w:tcPr>
            <w:tcW w:w="17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33,156,054.86</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-62,199,192.47</w:t>
            </w:r>
          </w:p>
        </w:tc>
        <w:tc>
          <w:tcPr>
            <w:tcW w:w="1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12,301,127.91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上述财务指标或其加总数是否与公司已披露季度报告、半年度报告相关财务指标存在重大差异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12" w:name="_Toc988901"/>
      <w:r>
        <w:rPr>
          <w:rFonts w:ascii="宋体" w:hAnsi="宋体" w:eastAsia="宋体" w:cs="宋体"/>
          <w:b/>
          <w:bCs/>
          <w:sz w:val="24"/>
          <w:szCs w:val="24"/>
        </w:rPr>
        <w:t>九、非经常性损益项目及金额</w:t>
      </w:r>
      <w:bookmarkEnd w:id="12"/>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73"/>
        <w:gridCol w:w="1650"/>
        <w:gridCol w:w="1610"/>
        <w:gridCol w:w="1479"/>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2023年金额</w:t>
            </w:r>
          </w:p>
        </w:tc>
        <w:tc>
          <w:tcPr>
            <w:tcW w:w="16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2022年金额</w:t>
            </w:r>
          </w:p>
        </w:tc>
        <w:tc>
          <w:tcPr>
            <w:tcW w:w="147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非流动性资产处置损益（包括已计提资产减值准备的冲销部分）</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69,475,478.10</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8,826,176.39</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66,654,129.65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val="en-US" w:eastAsia="zh-CN"/>
              </w:rPr>
            </w:pPr>
            <w:r>
              <w:rPr>
                <w:rFonts w:ascii="宋体" w:hAnsi="宋体" w:eastAsia="宋体" w:cs="宋体"/>
                <w:sz w:val="18"/>
                <w:szCs w:val="18"/>
              </w:rPr>
              <w:t>主要为丧失子公司控制权后，剩余股权按公允价值重新计量产生的利得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计入当期损益的政府补助（与公司正常经营业务密切相关，符合国家政策规定、按照确定的标准享有、对公司损益产生持续影响的政府补助除外）</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6,476,027.99</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6,575,043.88</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2,923,779.58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政府惠企政策补助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-9,882,368.06</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10,762,831.81</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10,073,533.17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主要为丧失子公司控制权后，剩余股权年底重新评估公允价值变动损失、理财收益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计入当期损益的对非金融企业收取的资金占用费</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629,671.75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单独进行减值测试的应收款项减值准备转回</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已计提减值的保证金收回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2,089,529.20</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3,718,192.18</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730,552.50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违约金和没收押金等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-36,363,757.77</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49,829.40</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46,275.77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职工安置费等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13,674,541.65</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6,628,391.02</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19,790,228.25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少数股东权益影响额（税后）</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-9,598,055.82</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3,076,349.55</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1,977,988.66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7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27,868,423.63</w:t>
            </w:r>
          </w:p>
        </w:tc>
        <w:tc>
          <w:tcPr>
            <w:tcW w:w="16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20,227,333.09</w:t>
            </w:r>
          </w:p>
        </w:tc>
        <w:tc>
          <w:tcPr>
            <w:tcW w:w="14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59,289,725.51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shd w:val="clear" w:color="auto" w:fill="D3D3D3"/>
              </w:rPr>
            </w:pPr>
            <w:r>
              <w:rPr>
                <w:rFonts w:ascii="宋体" w:hAnsi="宋体" w:eastAsia="宋体" w:cs="宋体"/>
                <w:sz w:val="18"/>
                <w:szCs w:val="18"/>
                <w:shd w:val="clear" w:color="auto" w:fill="D3D3D3"/>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r>
        <w:br w:type="page"/>
      </w:r>
    </w:p>
    <w:p>
      <w:pPr>
        <w:keepNext/>
        <w:keepLines/>
        <w:spacing w:before="340" w:after="330" w:line="773" w:lineRule="exact"/>
        <w:jc w:val="center"/>
        <w:outlineLvl w:val="0"/>
        <w:rPr>
          <w:rFonts w:ascii="宋体" w:hAnsi="宋体" w:eastAsia="宋体" w:cs="宋体"/>
          <w:b/>
          <w:bCs/>
          <w:sz w:val="32"/>
          <w:szCs w:val="32"/>
        </w:rPr>
      </w:pPr>
      <w:bookmarkStart w:id="13" w:name="_Toc988902"/>
      <w:r>
        <w:rPr>
          <w:rFonts w:ascii="宋体" w:hAnsi="宋体" w:eastAsia="宋体" w:cs="宋体"/>
          <w:b/>
          <w:bCs/>
          <w:sz w:val="32"/>
          <w:szCs w:val="32"/>
        </w:rPr>
        <w:t>第三节 管理层讨论与分析</w:t>
      </w:r>
      <w:bookmarkEnd w:id="13"/>
    </w:p>
    <w:p>
      <w:pPr>
        <w:keepNext/>
        <w:keepLines/>
        <w:spacing w:before="300" w:after="300" w:line="320" w:lineRule="exact"/>
        <w:jc w:val="left"/>
        <w:outlineLvl w:val="1"/>
        <w:rPr>
          <w:rFonts w:ascii="宋体" w:hAnsi="宋体" w:eastAsia="宋体" w:cs="宋体"/>
          <w:b/>
          <w:bCs/>
          <w:sz w:val="24"/>
          <w:szCs w:val="24"/>
        </w:rPr>
      </w:pPr>
      <w:bookmarkStart w:id="14" w:name="_Toc988903"/>
      <w:r>
        <w:rPr>
          <w:rFonts w:ascii="宋体" w:hAnsi="宋体" w:eastAsia="宋体" w:cs="宋体"/>
          <w:b/>
          <w:bCs/>
          <w:sz w:val="24"/>
          <w:szCs w:val="24"/>
        </w:rPr>
        <w:t>一、报告期内公司所处行业情况</w:t>
      </w:r>
      <w:bookmarkEnd w:id="14"/>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公司需遵守《深圳证券交易所上市公司自律监管指引第3号——行业信息披露》中珠宝相关业的披露要求</w:t>
      </w:r>
    </w:p>
    <w:p>
      <w:pPr>
        <w:pStyle w:val="8"/>
        <w:keepNext w:val="0"/>
        <w:keepLines w:val="0"/>
        <w:widowControl/>
        <w:suppressLineNumbers w:val="0"/>
        <w:spacing w:before="0" w:beforeAutospacing="0" w:after="0" w:afterAutospacing="0" w:line="360" w:lineRule="auto"/>
        <w:ind w:left="0" w:right="0" w:firstLine="422"/>
        <w:jc w:val="both"/>
        <w:rPr>
          <w:rFonts w:ascii="Calibri" w:hAnsi="Calibri" w:cs="Calibri"/>
          <w:sz w:val="21"/>
          <w:szCs w:val="21"/>
        </w:rPr>
      </w:pPr>
      <w:r>
        <w:rPr>
          <w:rStyle w:val="11"/>
          <w:rFonts w:hint="eastAsia" w:ascii="宋体" w:hAnsi="宋体" w:eastAsia="宋体" w:cs="宋体"/>
          <w:b/>
          <w:bCs/>
          <w:sz w:val="21"/>
          <w:szCs w:val="21"/>
        </w:rPr>
        <w:t>（一）黄金珠宝行业</w:t>
      </w:r>
    </w:p>
    <w:p>
      <w:pPr>
        <w:pStyle w:val="8"/>
        <w:keepNext w:val="0"/>
        <w:keepLines w:val="0"/>
        <w:widowControl/>
        <w:suppressLineNumbers w:val="0"/>
        <w:spacing w:before="0" w:beforeAutospacing="0" w:after="0" w:afterAutospacing="0" w:line="360" w:lineRule="auto"/>
        <w:ind w:left="0" w:right="0" w:firstLine="420"/>
        <w:jc w:val="both"/>
        <w:rPr>
          <w:rFonts w:hint="default" w:ascii="Calibri" w:hAnsi="Calibri" w:cs="Calibri"/>
          <w:sz w:val="21"/>
          <w:szCs w:val="21"/>
        </w:rPr>
      </w:pPr>
      <w:r>
        <w:rPr>
          <w:rFonts w:hint="eastAsia" w:ascii="宋体" w:hAnsi="宋体" w:eastAsia="宋体" w:cs="宋体"/>
          <w:sz w:val="21"/>
          <w:szCs w:val="21"/>
        </w:rPr>
        <w:t>1.宏观环境</w:t>
      </w:r>
    </w:p>
    <w:p>
      <w:pPr>
        <w:pStyle w:val="8"/>
        <w:keepNext w:val="0"/>
        <w:keepLines w:val="0"/>
        <w:widowControl/>
        <w:suppressLineNumbers w:val="0"/>
        <w:spacing w:before="0" w:beforeAutospacing="0" w:after="0" w:afterAutospacing="0" w:line="360" w:lineRule="auto"/>
        <w:ind w:left="0" w:right="0" w:firstLine="420"/>
        <w:jc w:val="both"/>
        <w:rPr>
          <w:rFonts w:hint="default" w:ascii="Calibri" w:hAnsi="Calibri" w:cs="Calibri"/>
          <w:sz w:val="21"/>
          <w:szCs w:val="21"/>
        </w:rPr>
      </w:pPr>
      <w:r>
        <w:rPr>
          <w:rFonts w:hint="eastAsia" w:ascii="宋体" w:hAnsi="宋体" w:eastAsia="宋体" w:cs="宋体"/>
          <w:color w:val="000000"/>
          <w:sz w:val="21"/>
          <w:szCs w:val="21"/>
        </w:rPr>
        <w:t>黄金珠宝行业发展与全球地缘政治格局、经济发展趋势密切关联。</w:t>
      </w:r>
      <w:r>
        <w:rPr>
          <w:rFonts w:hint="eastAsia" w:ascii="宋体" w:hAnsi="宋体" w:eastAsia="宋体" w:cs="宋体"/>
          <w:sz w:val="21"/>
          <w:szCs w:val="21"/>
        </w:rPr>
        <w:t>2023年国际形势复杂，全球地缘政治紧张局势升级，区域冲突不断，</w:t>
      </w:r>
      <w:r>
        <w:rPr>
          <w:rFonts w:hint="eastAsia" w:ascii="宋体" w:hAnsi="宋体" w:eastAsia="宋体" w:cs="宋体"/>
          <w:color w:val="000000"/>
          <w:sz w:val="21"/>
          <w:szCs w:val="21"/>
        </w:rPr>
        <w:t>多国贸易保护主义导致摩擦不断</w:t>
      </w:r>
      <w:r>
        <w:rPr>
          <w:rFonts w:hint="eastAsia" w:ascii="宋体" w:hAnsi="宋体" w:eastAsia="宋体" w:cs="宋体"/>
          <w:sz w:val="21"/>
          <w:szCs w:val="21"/>
        </w:rPr>
        <w:t>，对全球政治稳定和经济发展均带来了挑战。在国内外复杂因素冲击及国家宏观调控的作用下，国内经济发展呈逐渐企稳态势，国内珠宝消费市场逐渐回暖。同时，为了规范珠宝市场发展秩序，国家出台一系列政策和措施，保护国内市场，促进合法贸易。</w:t>
      </w:r>
    </w:p>
    <w:p>
      <w:pPr>
        <w:pStyle w:val="8"/>
        <w:keepNext w:val="0"/>
        <w:keepLines w:val="0"/>
        <w:widowControl/>
        <w:suppressLineNumbers w:val="0"/>
        <w:spacing w:before="0" w:beforeAutospacing="0" w:after="0" w:afterAutospacing="0" w:line="360" w:lineRule="auto"/>
        <w:ind w:left="0" w:right="0" w:firstLine="420"/>
        <w:jc w:val="both"/>
        <w:rPr>
          <w:rFonts w:hint="default" w:ascii="Calibri" w:hAnsi="Calibri" w:cs="Calibri"/>
          <w:sz w:val="21"/>
          <w:szCs w:val="21"/>
        </w:rPr>
      </w:pPr>
      <w:r>
        <w:rPr>
          <w:rFonts w:hint="eastAsia" w:ascii="宋体" w:hAnsi="宋体" w:eastAsia="宋体" w:cs="宋体"/>
          <w:sz w:val="21"/>
          <w:szCs w:val="21"/>
        </w:rPr>
        <w:t>2.黄金珠宝行业概况</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根据国家统计局数据，2023年我国社会消费品零售总额同比增长7.2%至471,495亿元。其中限额以上单位金银珠宝类零售总额同比增长13.3%至3,310亿元，成为各商品零售类别中增长幅度最快的品类。我国珠宝消费需求旺盛，市场有望持续扩容。珠宝行业内部结构性分化加剧，天然钻石镶嵌饰品作为可选消费品需求不足，复苏缓慢，培育钻石对天然钻石市场也形成较大冲击。黄金却因具备独特的消费和保值属性，占据市场主导地位，市场需求也显著提升。行业内企业竞争也日益激烈，头部企业通过积极布局渠道、升级品牌、开发新品等加速行业整合，通过销售黄金珠宝首饰等热门品类实现企业营收稳定增长，抢占消费群体，预计未来行业集中度会进一步提升。</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从消费场景看，目前我国结婚率下滑，消费者在婚庆场景中的购买需求降低，镶嵌类产品市场萎缩，黄金的消费需求显著提升，随着我国消费升级及悦己主义兴起，黄金珠宝产品消费需求朝个性化、多样化方向发展，黄金珠宝产品工艺不断进步带动新品快速迭代，促使消费场景从婚庆切换至自戴或赠礼场景。</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3.发展趋势</w:t>
      </w:r>
    </w:p>
    <w:p>
      <w:pPr>
        <w:pStyle w:val="8"/>
        <w:keepNext w:val="0"/>
        <w:keepLines w:val="0"/>
        <w:widowControl/>
        <w:suppressLineNumbers w:val="0"/>
        <w:spacing w:before="0" w:beforeAutospacing="0" w:after="0" w:afterAutospacing="0" w:line="360" w:lineRule="auto"/>
        <w:ind w:left="0" w:right="0" w:firstLine="420"/>
        <w:jc w:val="both"/>
        <w:rPr>
          <w:rFonts w:hint="default" w:ascii="Calibri" w:hAnsi="Calibri" w:cs="Calibri"/>
          <w:sz w:val="21"/>
          <w:szCs w:val="21"/>
        </w:rPr>
      </w:pPr>
      <w:r>
        <w:rPr>
          <w:rFonts w:hint="eastAsia" w:ascii="宋体" w:hAnsi="宋体" w:eastAsia="宋体" w:cs="宋体"/>
          <w:sz w:val="21"/>
          <w:szCs w:val="21"/>
        </w:rPr>
        <w:t>黄金珠宝行业的未来发展空间广阔，消费市场逐渐下沉，消费群体年龄范围更广，消费频次更高，品牌加大加快了对线上渠道的布局。线上渠道成为黄金珠宝等品类销售增长的重要来源。同时，随着数字化发展和技术不断进步，黄金珠宝线上平台将不断优化和完善，为消费者提供更加便捷、个性化的购物体验。数字化的应用不仅提升了客户体验，还能提高企业运营效率并降低成本，实现更高效的供应链管理，如数据透明、可追溯，数据分析优化管理和需求预测等，数字化亟待推广应用。</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公司依托自身优势，充分利用行业资源，推动珠宝行业标准化、信息化、合规化，服务珠宝产业的同时构筑差异化的竞争优势，搭建珠宝产业第三方服务平台，积极探索开辟蓝海市场。</w:t>
      </w:r>
    </w:p>
    <w:p>
      <w:pPr>
        <w:pStyle w:val="8"/>
        <w:keepNext w:val="0"/>
        <w:keepLines w:val="0"/>
        <w:widowControl/>
        <w:suppressLineNumbers w:val="0"/>
        <w:spacing w:before="0" w:beforeAutospacing="0" w:after="0" w:afterAutospacing="0" w:line="360" w:lineRule="auto"/>
        <w:ind w:left="0" w:right="0" w:firstLine="422"/>
        <w:jc w:val="both"/>
        <w:rPr>
          <w:rFonts w:hint="default" w:ascii="Calibri" w:hAnsi="Calibri" w:cs="Calibri"/>
          <w:sz w:val="21"/>
          <w:szCs w:val="21"/>
        </w:rPr>
      </w:pPr>
      <w:r>
        <w:rPr>
          <w:rStyle w:val="11"/>
          <w:rFonts w:hint="eastAsia" w:ascii="宋体" w:hAnsi="宋体" w:eastAsia="宋体" w:cs="宋体"/>
          <w:b/>
          <w:bCs/>
          <w:sz w:val="21"/>
          <w:szCs w:val="21"/>
        </w:rPr>
        <w:t>（二）商业地产租赁行业</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根据中国房地产指数系统数据，上半年城市主要商圈写字楼租金延续下跌态势，三季度需求温和修复，但部分城市受新增供应入市影响，甲级写字楼空置率上升。据统计，2023年前三季度，全国15个重点城市主要商圈写字楼平均租金累计下跌0.52%，三季度环比下跌0.28%，写字楼租金延续下跌态势。</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部分商业地产企业积极布局转型升级，通过提升服务质量、优化租赁环境、创新业务模式等方式，提高市场竞争力。国家也出台了一系列政策措施，支持</w:t>
      </w:r>
      <w:r>
        <w:rPr>
          <w:rFonts w:ascii="Arial" w:hAnsi="Arial" w:eastAsia="宋体" w:cs="Arial"/>
          <w:color w:val="222222"/>
          <w:sz w:val="21"/>
          <w:szCs w:val="21"/>
        </w:rPr>
        <w:t>住房租赁行业高质量发展</w:t>
      </w:r>
      <w:r>
        <w:rPr>
          <w:rFonts w:hint="eastAsia" w:ascii="宋体" w:hAnsi="宋体" w:eastAsia="宋体" w:cs="宋体"/>
          <w:sz w:val="21"/>
          <w:szCs w:val="21"/>
        </w:rPr>
        <w:t>，例如，加大对租赁市场的金融支持力度、推动租赁立法等。未来随着宏观经济稳步恢复，商业地产租赁需求或将温和修复。</w:t>
      </w:r>
    </w:p>
    <w:p>
      <w:pPr>
        <w:pStyle w:val="8"/>
        <w:keepNext w:val="0"/>
        <w:keepLines w:val="0"/>
        <w:widowControl/>
        <w:suppressLineNumbers w:val="0"/>
        <w:spacing w:before="0" w:beforeAutospacing="0" w:after="0" w:afterAutospacing="0" w:line="360" w:lineRule="auto"/>
        <w:ind w:left="0" w:right="0" w:firstLine="420"/>
        <w:jc w:val="left"/>
        <w:rPr>
          <w:rFonts w:hint="default" w:ascii="Calibri" w:hAnsi="Calibri" w:cs="Calibri"/>
          <w:sz w:val="21"/>
          <w:szCs w:val="21"/>
        </w:rPr>
      </w:pPr>
      <w:r>
        <w:rPr>
          <w:rFonts w:hint="eastAsia" w:ascii="宋体" w:hAnsi="宋体" w:eastAsia="宋体" w:cs="宋体"/>
          <w:sz w:val="21"/>
          <w:szCs w:val="21"/>
        </w:rPr>
        <w:t>面临激励的竞争环境，公司通过提高运营效率、服务质量、配套措施及绿色低碳水平等，持续提升商业综合体运营能力，树立服务意识，不断赋能商户，提高品牌形象和竞争力。</w:t>
      </w:r>
    </w:p>
    <w:p>
      <w:pPr>
        <w:keepNext/>
        <w:keepLines/>
        <w:spacing w:before="300" w:after="300" w:line="320" w:lineRule="exact"/>
        <w:jc w:val="left"/>
        <w:outlineLvl w:val="1"/>
        <w:rPr>
          <w:rFonts w:ascii="宋体" w:hAnsi="宋体" w:eastAsia="宋体" w:cs="宋体"/>
          <w:b/>
          <w:bCs/>
          <w:sz w:val="24"/>
          <w:szCs w:val="24"/>
        </w:rPr>
      </w:pPr>
      <w:bookmarkStart w:id="15" w:name="_Toc988904"/>
      <w:r>
        <w:rPr>
          <w:rFonts w:ascii="宋体" w:hAnsi="宋体" w:eastAsia="宋体" w:cs="宋体"/>
          <w:b/>
          <w:bCs/>
          <w:sz w:val="24"/>
          <w:szCs w:val="24"/>
        </w:rPr>
        <w:t>二、报告期内公司从事的主要业务</w:t>
      </w:r>
      <w:bookmarkEnd w:id="15"/>
    </w:p>
    <w:p>
      <w:pPr>
        <w:pStyle w:val="8"/>
        <w:keepNext w:val="0"/>
        <w:keepLines w:val="0"/>
        <w:widowControl/>
        <w:suppressLineNumbers w:val="0"/>
        <w:spacing w:before="0" w:beforeAutospacing="0" w:after="0" w:afterAutospacing="0" w:line="360" w:lineRule="auto"/>
        <w:ind w:left="0" w:right="0" w:firstLine="420"/>
        <w:jc w:val="left"/>
        <w:rPr>
          <w:rFonts w:hint="eastAsia" w:ascii="宋体" w:hAnsi="宋体" w:eastAsia="宋体" w:cs="宋体"/>
          <w:sz w:val="21"/>
          <w:szCs w:val="21"/>
        </w:rPr>
      </w:pPr>
      <w:r>
        <w:rPr>
          <w:rFonts w:hint="eastAsia" w:ascii="宋体" w:hAnsi="宋体" w:eastAsia="宋体" w:cs="宋体"/>
          <w:sz w:val="21"/>
          <w:szCs w:val="21"/>
        </w:rPr>
        <w:t>公司需遵守《深圳证券交易所上市公司自律监管指引第3号——行业信息披露》中珠宝相关业的披露要求</w:t>
      </w:r>
    </w:p>
    <w:p>
      <w:pPr>
        <w:pStyle w:val="8"/>
        <w:keepNext w:val="0"/>
        <w:keepLines w:val="0"/>
        <w:widowControl/>
        <w:suppressLineNumbers w:val="0"/>
        <w:spacing w:before="0" w:beforeAutospacing="0" w:after="0" w:afterAutospacing="0" w:line="360" w:lineRule="auto"/>
        <w:ind w:left="420" w:leftChars="200" w:right="0" w:firstLine="0" w:firstLineChars="0"/>
        <w:jc w:val="left"/>
        <w:rPr>
          <w:rFonts w:hint="eastAsia" w:ascii="宋体" w:hAnsi="宋体" w:eastAsia="宋体" w:cs="宋体"/>
          <w:sz w:val="21"/>
          <w:szCs w:val="21"/>
        </w:rPr>
      </w:pPr>
      <w:r>
        <w:rPr>
          <w:rFonts w:hint="eastAsia" w:ascii="宋体" w:hAnsi="宋体" w:eastAsia="宋体" w:cs="宋体"/>
          <w:sz w:val="21"/>
          <w:szCs w:val="21"/>
        </w:rPr>
        <w:t>（一）公司报告期内的主营业务是珠宝第三方服务、商业综合体运营及物业租赁业务。</w:t>
      </w:r>
      <w:r>
        <w:rPr>
          <w:rFonts w:hint="eastAsia" w:ascii="宋体" w:hAnsi="宋体" w:eastAsia="宋体" w:cs="宋体"/>
          <w:sz w:val="21"/>
          <w:szCs w:val="21"/>
        </w:rPr>
        <w:br w:type="textWrapping"/>
      </w:r>
      <w:r>
        <w:rPr>
          <w:rFonts w:hint="eastAsia" w:ascii="宋体" w:hAnsi="宋体" w:eastAsia="宋体" w:cs="宋体"/>
          <w:sz w:val="21"/>
          <w:szCs w:val="21"/>
        </w:rPr>
        <w:t>1、珠宝第三方服务：公司以“致力于提供优质服务供给，与珠宝产业共成长”为发展愿景，依托</w:t>
      </w:r>
    </w:p>
    <w:p>
      <w:pPr>
        <w:pStyle w:val="8"/>
        <w:keepNext w:val="0"/>
        <w:keepLines w:val="0"/>
        <w:widowControl/>
        <w:suppressLineNumbers w:val="0"/>
        <w:spacing w:before="0" w:beforeAutospacing="0" w:after="0" w:afterAutospacing="0" w:line="360" w:lineRule="auto"/>
        <w:ind w:right="0"/>
        <w:jc w:val="left"/>
        <w:rPr>
          <w:rFonts w:hint="default" w:ascii="宋体" w:hAnsi="宋体" w:eastAsia="宋体" w:cs="宋体"/>
          <w:sz w:val="21"/>
          <w:szCs w:val="21"/>
        </w:rPr>
      </w:pPr>
      <w:r>
        <w:rPr>
          <w:rFonts w:hint="eastAsia" w:ascii="宋体" w:hAnsi="宋体" w:eastAsia="宋体" w:cs="宋体"/>
          <w:sz w:val="21"/>
          <w:szCs w:val="21"/>
        </w:rPr>
        <w:t>自身优势，集结国内外优质行业资源、联动行业优秀头部企业，打造</w:t>
      </w:r>
      <w:r>
        <w:rPr>
          <w:rFonts w:hint="eastAsia" w:ascii="宋体" w:hAnsi="宋体" w:cs="宋体"/>
          <w:sz w:val="21"/>
          <w:szCs w:val="21"/>
          <w:lang w:val="en-US" w:eastAsia="zh-CN"/>
        </w:rPr>
        <w:t>满足</w:t>
      </w:r>
      <w:r>
        <w:rPr>
          <w:rFonts w:hint="eastAsia" w:ascii="宋体" w:hAnsi="宋体" w:eastAsia="宋体" w:cs="宋体"/>
          <w:sz w:val="21"/>
          <w:szCs w:val="21"/>
        </w:rPr>
        <w:t>广大行业需求的第三方服务平台。公司旗下设立深珠宝、国润黄金、特力宝库、上海泛粤等公司，通过建设运营珠宝玉石综合贸易平台、开展黄金流转业务、开拓高端珠宝第三方存管业务等，与多方、多板块联动打造广泛的服务产品，全面满足来自不同层面客户的各类需求，完善产业服务链，逐步建设和丰富珠宝产业服务生态圈，填补市场空白，解决客户痛点，发挥行业标杆作用，促进行业合规化进程。</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2、商业综合体运营及物业租赁业务：公司是水贝片区特力吉盟黄金首饰产业园内的最大业主</w:t>
      </w:r>
      <w:r>
        <w:rPr>
          <w:rFonts w:hint="eastAsia" w:ascii="宋体" w:hAnsi="宋体" w:cs="宋体"/>
          <w:sz w:val="21"/>
          <w:szCs w:val="21"/>
          <w:lang w:eastAsia="zh-CN"/>
        </w:rPr>
        <w:t>，</w:t>
      </w:r>
      <w:r>
        <w:rPr>
          <w:rFonts w:hint="eastAsia" w:ascii="宋体" w:hAnsi="宋体" w:eastAsia="宋体" w:cs="宋体"/>
          <w:sz w:val="21"/>
          <w:szCs w:val="21"/>
        </w:rPr>
        <w:t>公司投资建设的特力珠宝大厦、特力金钻交易大厦已先后投入运营，并保持较高的出租率。此外，公司在深圳罗湖、福田等片区掌握大量物业资源，在保持原有租赁业务稳定的基础上，公司积极推进物业质量提升工作，将所属老旧物业从简单租赁的传统方式向物业商业运营方向转型，从而充分提升和挖掘物业品牌的附加值，建设符合市、区及本公司整体战略布局的创新产业项目。</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（二）珠宝业务主要经营模式情况说明</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销售模式</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目前，公司采用批发作为黄金、珠宝的主要销售模式，同时也提供代理报关、黄金提纯/兑换、保险箱租赁等配套服务。2023年珠宝业务销售收入构成如下：</w:t>
      </w:r>
    </w:p>
    <w:tbl>
      <w:tblPr>
        <w:tblStyle w:val="9"/>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67"/>
        <w:gridCol w:w="2742"/>
        <w:gridCol w:w="2580"/>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46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销售模式</w:t>
            </w:r>
          </w:p>
        </w:tc>
        <w:tc>
          <w:tcPr>
            <w:tcW w:w="274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营业收入金额（万元）</w:t>
            </w:r>
          </w:p>
        </w:tc>
        <w:tc>
          <w:tcPr>
            <w:tcW w:w="25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营业成本金额（万元）</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46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c>
          <w:tcPr>
            <w:tcW w:w="274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c>
          <w:tcPr>
            <w:tcW w:w="25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4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批发</w:t>
            </w:r>
          </w:p>
        </w:tc>
        <w:tc>
          <w:tcPr>
            <w:tcW w:w="274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152,304.14</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150,436.40</w:t>
            </w:r>
          </w:p>
        </w:tc>
        <w:tc>
          <w:tcPr>
            <w:tcW w:w="1723"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46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其他服务</w:t>
            </w:r>
          </w:p>
        </w:tc>
        <w:tc>
          <w:tcPr>
            <w:tcW w:w="274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1,903.03</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1,051.08</w:t>
            </w:r>
          </w:p>
        </w:tc>
        <w:tc>
          <w:tcPr>
            <w:tcW w:w="1723"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46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42"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154,207.17</w:t>
            </w:r>
          </w:p>
        </w:tc>
        <w:tc>
          <w:tcPr>
            <w:tcW w:w="258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151,487.48</w:t>
            </w:r>
          </w:p>
        </w:tc>
        <w:tc>
          <w:tcPr>
            <w:tcW w:w="1723"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r>
    </w:tbl>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生产模式</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目前，公司的黄金及其制品，主要采用委托加工模式；钻石彩宝等不涉及加工。2023年生产模式构成如下：</w:t>
      </w:r>
    </w:p>
    <w:tbl>
      <w:tblPr>
        <w:tblStyle w:val="9"/>
        <w:tblW w:w="8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66"/>
        <w:gridCol w:w="3086"/>
        <w:gridCol w:w="3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3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生产模式</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金额（万元）</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3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委托加工成品</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165,964.80</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3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165,964.80</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bl>
    <w:p>
      <w:pPr>
        <w:pStyle w:val="8"/>
        <w:keepNext w:val="0"/>
        <w:keepLines w:val="0"/>
        <w:widowControl/>
        <w:suppressLineNumbers w:val="0"/>
        <w:spacing w:before="0" w:beforeAutospacing="0" w:after="0" w:afterAutospacing="0" w:line="360"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采购模式</w:t>
      </w:r>
    </w:p>
    <w:p>
      <w:pPr>
        <w:pStyle w:val="8"/>
        <w:keepNext w:val="0"/>
        <w:keepLines w:val="0"/>
        <w:widowControl/>
        <w:suppressLineNumbers w:val="0"/>
        <w:spacing w:before="0" w:beforeAutospacing="0" w:after="0" w:afterAutospacing="0" w:line="360" w:lineRule="auto"/>
        <w:ind w:left="420" w:leftChars="200" w:right="0" w:firstLine="0" w:firstLineChars="0"/>
        <w:jc w:val="both"/>
        <w:rPr>
          <w:rFonts w:hint="eastAsia" w:ascii="宋体" w:hAnsi="宋体" w:eastAsia="宋体" w:cs="宋体"/>
          <w:sz w:val="21"/>
          <w:szCs w:val="21"/>
        </w:rPr>
      </w:pPr>
      <w:r>
        <w:rPr>
          <w:rFonts w:hint="eastAsia" w:ascii="宋体" w:hAnsi="宋体" w:eastAsia="宋体" w:cs="宋体"/>
          <w:sz w:val="21"/>
          <w:szCs w:val="21"/>
        </w:rPr>
        <w:t>黄金及其制品：向上海黄金交易所或具备资质的单位购买黄金原材料；或向银行租金；</w:t>
      </w:r>
      <w:r>
        <w:rPr>
          <w:rFonts w:hint="eastAsia" w:ascii="宋体" w:hAnsi="宋体" w:eastAsia="宋体" w:cs="宋体"/>
          <w:sz w:val="21"/>
          <w:szCs w:val="21"/>
        </w:rPr>
        <w:br w:type="textWrapping"/>
      </w:r>
      <w:r>
        <w:rPr>
          <w:rFonts w:hint="eastAsia" w:ascii="宋体" w:hAnsi="宋体" w:eastAsia="宋体" w:cs="宋体"/>
          <w:sz w:val="21"/>
          <w:szCs w:val="21"/>
        </w:rPr>
        <w:t>钻石：向境外钻石供应商采购成品钻石，并通过上海钻石交易所进口；</w:t>
      </w:r>
      <w:r>
        <w:rPr>
          <w:rFonts w:hint="eastAsia" w:ascii="宋体" w:hAnsi="宋体" w:eastAsia="宋体" w:cs="宋体"/>
          <w:sz w:val="21"/>
          <w:szCs w:val="21"/>
        </w:rPr>
        <w:br w:type="textWrapping"/>
      </w:r>
      <w:r>
        <w:rPr>
          <w:rFonts w:hint="eastAsia" w:ascii="宋体" w:hAnsi="宋体" w:eastAsia="宋体" w:cs="宋体"/>
          <w:sz w:val="21"/>
          <w:szCs w:val="21"/>
        </w:rPr>
        <w:t>其它珠宝玉石：向境外珠宝玉石供应商采购产品，并通过深珠宝公司办理缴税进口手续。</w:t>
      </w:r>
    </w:p>
    <w:p>
      <w:pPr>
        <w:pStyle w:val="8"/>
        <w:keepNext w:val="0"/>
        <w:keepLines w:val="0"/>
        <w:widowControl/>
        <w:suppressLineNumbers w:val="0"/>
        <w:spacing w:before="0" w:beforeAutospacing="0" w:after="0" w:afterAutospacing="0" w:line="360"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2023年采购模式如下：</w:t>
      </w:r>
    </w:p>
    <w:tbl>
      <w:tblPr>
        <w:tblStyle w:val="9"/>
        <w:tblW w:w="8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000"/>
        <w:gridCol w:w="2100"/>
        <w:gridCol w:w="2337"/>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采购模式</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原材料</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采购数量</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iCs w:val="0"/>
                <w:color w:val="000000"/>
                <w:sz w:val="18"/>
                <w:szCs w:val="18"/>
                <w:u w:val="none"/>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（公斤kg、克拉ct）</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现货交易</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649.54KG</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152,722.63 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现货交易</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260.66CT</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租金业务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118.00 KG</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trPr>
        <w:tc>
          <w:tcPr>
            <w:tcW w:w="4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159,732.01 </w:t>
            </w:r>
          </w:p>
        </w:tc>
      </w:tr>
    </w:tbl>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报告期内实体店经营门店的经营情况</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2023年9月国润直营店（特力）一楼开始营业，地址：广东省深圳市罗湖区水贝二路特力珠宝大厦中庭，2023年9月-12月销售</w:t>
      </w:r>
      <w:r>
        <w:rPr>
          <w:rFonts w:hint="eastAsia" w:ascii="宋体" w:hAnsi="宋体" w:cs="宋体"/>
          <w:sz w:val="21"/>
          <w:szCs w:val="21"/>
          <w:lang w:val="en-US" w:eastAsia="zh-CN"/>
        </w:rPr>
        <w:t>黄金产品</w:t>
      </w:r>
      <w:r>
        <w:rPr>
          <w:rFonts w:hint="eastAsia" w:ascii="宋体" w:hAnsi="宋体" w:eastAsia="宋体" w:cs="宋体"/>
          <w:sz w:val="21"/>
          <w:szCs w:val="21"/>
        </w:rPr>
        <w:t>55.89公斤，营业收入2,319.71万元，营业成本2,315.73万元，毛利率0.17%。</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报告期内线上销售情况</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2023年11月天猫“特力水贝珠宝旗舰店”开始营业，2023年11月-12月营业收入536.89万元，营业成本528.11万元,毛利率1.64%。</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2023年11月京东“特力水贝珠宝旗舰店”开始营业，2023年11月-12月营业收入787.16万元，营业成本779.41万元，毛利率0.98%。</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w:t>
      </w:r>
      <w:r>
        <w:rPr>
          <w:rFonts w:hint="eastAsia" w:ascii="宋体" w:hAnsi="宋体" w:eastAsia="宋体" w:cs="宋体"/>
          <w:sz w:val="21"/>
          <w:szCs w:val="21"/>
        </w:rPr>
        <w:t>报告期内珠宝业务存货情况</w:t>
      </w:r>
    </w:p>
    <w:p>
      <w:pPr>
        <w:pStyle w:val="8"/>
        <w:keepNext w:val="0"/>
        <w:keepLines w:val="0"/>
        <w:widowControl/>
        <w:suppressLineNumbers w:val="0"/>
        <w:spacing w:before="0" w:beforeAutospacing="0" w:after="0" w:afterAutospacing="0" w:line="360" w:lineRule="auto"/>
        <w:ind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截至2023年12月31日，公司珠宝业务的存货余额为人民币17</w:t>
      </w:r>
      <w:r>
        <w:rPr>
          <w:rFonts w:hint="eastAsia" w:ascii="宋体" w:hAnsi="宋体" w:cs="宋体"/>
          <w:sz w:val="21"/>
          <w:szCs w:val="21"/>
          <w:lang w:val="en-US" w:eastAsia="zh-CN"/>
        </w:rPr>
        <w:t>,</w:t>
      </w:r>
      <w:r>
        <w:rPr>
          <w:rFonts w:hint="eastAsia" w:ascii="宋体" w:hAnsi="宋体" w:eastAsia="宋体" w:cs="宋体"/>
          <w:sz w:val="21"/>
          <w:szCs w:val="21"/>
        </w:rPr>
        <w:t>842.58万元，其中以公允价值计量的金额为人民币17</w:t>
      </w:r>
      <w:r>
        <w:rPr>
          <w:rFonts w:hint="eastAsia" w:ascii="宋体" w:hAnsi="宋体" w:cs="宋体"/>
          <w:sz w:val="21"/>
          <w:szCs w:val="21"/>
          <w:lang w:val="en-US" w:eastAsia="zh-CN"/>
        </w:rPr>
        <w:t>,</w:t>
      </w:r>
      <w:r>
        <w:rPr>
          <w:rFonts w:hint="eastAsia" w:ascii="宋体" w:hAnsi="宋体" w:eastAsia="宋体" w:cs="宋体"/>
          <w:sz w:val="21"/>
          <w:szCs w:val="21"/>
        </w:rPr>
        <w:t>841.90万元，系以商品期货合约及T+D合约作为套期工具的被套期项目以及从光大银行租赁的黄金货值。</w:t>
      </w:r>
    </w:p>
    <w:p>
      <w:pPr>
        <w:pStyle w:val="8"/>
        <w:keepNext w:val="0"/>
        <w:keepLines w:val="0"/>
        <w:widowControl/>
        <w:suppressLineNumbers w:val="0"/>
        <w:rPr>
          <w:rFonts w:ascii="宋体" w:hAnsi="宋体" w:eastAsia="宋体" w:cs="宋体"/>
          <w:b/>
          <w:bCs/>
          <w:sz w:val="24"/>
          <w:szCs w:val="24"/>
        </w:rPr>
      </w:pPr>
      <w:r>
        <w:rPr>
          <w:rFonts w:hint="eastAsia" w:ascii="宋体" w:hAnsi="宋体" w:eastAsia="宋体" w:cs="宋体"/>
          <w:sz w:val="18"/>
          <w:szCs w:val="18"/>
        </w:rPr>
        <w:t> </w:t>
      </w:r>
      <w:bookmarkStart w:id="16" w:name="_Toc988905"/>
      <w:r>
        <w:rPr>
          <w:rFonts w:ascii="宋体" w:hAnsi="宋体" w:eastAsia="宋体" w:cs="宋体"/>
          <w:b/>
          <w:bCs/>
          <w:sz w:val="24"/>
          <w:szCs w:val="24"/>
        </w:rPr>
        <w:t>三、核心竞争力分析</w:t>
      </w:r>
      <w:bookmarkEnd w:id="16"/>
    </w:p>
    <w:p>
      <w:pPr>
        <w:pStyle w:val="8"/>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4"/>
          <w:szCs w:val="24"/>
        </w:rPr>
      </w:pPr>
      <w:r>
        <w:rPr>
          <w:rStyle w:val="11"/>
          <w:rFonts w:hint="eastAsia" w:ascii="宋体" w:hAnsi="宋体" w:eastAsia="宋体" w:cs="宋体"/>
          <w:sz w:val="21"/>
          <w:szCs w:val="21"/>
        </w:rPr>
        <w:t>（一）区位优势</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1"/>
          <w:szCs w:val="21"/>
          <w:shd w:val="clear" w:fill="FFFFFF"/>
        </w:rPr>
        <w:t>公司坐落于深圳珠宝行业的核心聚集区-水贝，水贝是中国珠宝行业中极具影响力的专业交易市场，是全国规模最大、发展水平最高、产业链条最完善的黄金珠宝集聚区。水贝占中国黄金珠宝市场份额超70%，在水贝市场一平方公里的核心区域内，就集中了上万家黄金珠宝企业。深圳市黄金珠宝首饰行业协会的数据显示，深圳全年黄金、铂金实物提货量约占上海黄金交易所实物销售量的70%；钻石实物用量约占上海钻石交易所进口额的80%。在品牌集聚方面，罗湖囊括40多家龙头珠宝企业，拥有29个珠宝类“中国驰名商标”，占全国的30%。水贝已形成涵盖设计研发、生产制造、展示交易、品牌运营、总部办公、检验检测、人才培训等完善的产业链。</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1"/>
          <w:szCs w:val="21"/>
          <w:shd w:val="clear" w:fill="FFFFFF"/>
        </w:rPr>
        <w:t>水贝片区的区位优势显著，大量的珠宝供应商和实力商家聚集</w:t>
      </w:r>
      <w:r>
        <w:rPr>
          <w:rFonts w:hint="eastAsia" w:ascii="宋体" w:hAnsi="宋体" w:cs="宋体"/>
          <w:sz w:val="21"/>
          <w:szCs w:val="21"/>
          <w:shd w:val="clear" w:fill="FFFFFF"/>
          <w:lang w:eastAsia="zh-CN"/>
        </w:rPr>
        <w:t>，</w:t>
      </w:r>
      <w:r>
        <w:rPr>
          <w:rFonts w:hint="eastAsia" w:ascii="宋体" w:hAnsi="宋体" w:eastAsia="宋体" w:cs="宋体"/>
          <w:sz w:val="21"/>
          <w:szCs w:val="21"/>
          <w:shd w:val="clear" w:fill="FFFFFF"/>
        </w:rPr>
        <w:t>提供了良好的营商环境和发展平台，公司可及时捕捉市场反馈信息，快速响应市场变化</w:t>
      </w:r>
      <w:r>
        <w:rPr>
          <w:rFonts w:hint="eastAsia" w:ascii="宋体" w:hAnsi="宋体" w:cs="宋体"/>
          <w:sz w:val="21"/>
          <w:szCs w:val="21"/>
          <w:shd w:val="clear" w:fill="FFFFFF"/>
          <w:lang w:eastAsia="zh-CN"/>
        </w:rPr>
        <w:t>，</w:t>
      </w:r>
      <w:r>
        <w:rPr>
          <w:rFonts w:hint="eastAsia" w:ascii="宋体" w:hAnsi="宋体" w:eastAsia="宋体" w:cs="宋体"/>
          <w:sz w:val="21"/>
          <w:szCs w:val="21"/>
          <w:shd w:val="clear" w:fill="FFFFFF"/>
        </w:rPr>
        <w:t>开展</w:t>
      </w:r>
      <w:r>
        <w:rPr>
          <w:rFonts w:hint="eastAsia" w:ascii="宋体" w:hAnsi="宋体" w:cs="宋体"/>
          <w:sz w:val="21"/>
          <w:szCs w:val="21"/>
          <w:shd w:val="clear" w:fill="FFFFFF"/>
          <w:lang w:val="en-US" w:eastAsia="zh-CN"/>
        </w:rPr>
        <w:t>符合行业需求的</w:t>
      </w:r>
      <w:r>
        <w:rPr>
          <w:rFonts w:hint="eastAsia" w:ascii="宋体" w:hAnsi="宋体" w:eastAsia="宋体" w:cs="宋体"/>
          <w:sz w:val="21"/>
          <w:szCs w:val="21"/>
          <w:shd w:val="clear" w:fill="FFFFFF"/>
        </w:rPr>
        <w:t>珠宝第三方综合服务。</w:t>
      </w:r>
    </w:p>
    <w:p>
      <w:pPr>
        <w:pStyle w:val="8"/>
        <w:keepNext w:val="0"/>
        <w:keepLines w:val="0"/>
        <w:widowControl/>
        <w:suppressLineNumbers w:val="0"/>
        <w:shd w:val="clear" w:fill="FFFFFF"/>
        <w:spacing w:before="0" w:beforeAutospacing="0" w:after="0" w:afterAutospacing="0" w:line="360" w:lineRule="auto"/>
        <w:ind w:left="0" w:right="0" w:firstLine="422"/>
        <w:rPr>
          <w:rFonts w:hint="eastAsia" w:ascii="宋体" w:hAnsi="宋体" w:eastAsia="宋体" w:cs="宋体"/>
          <w:sz w:val="24"/>
          <w:szCs w:val="24"/>
        </w:rPr>
      </w:pPr>
      <w:r>
        <w:rPr>
          <w:rStyle w:val="11"/>
          <w:rFonts w:hint="eastAsia" w:ascii="宋体" w:hAnsi="宋体" w:eastAsia="宋体" w:cs="宋体"/>
          <w:sz w:val="21"/>
          <w:szCs w:val="21"/>
          <w:shd w:val="clear" w:fill="FFFFFF"/>
        </w:rPr>
        <w:t>（二）资源优势</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1"/>
          <w:szCs w:val="21"/>
          <w:shd w:val="clear" w:fill="FFFFFF"/>
        </w:rPr>
        <w:t>公司依托国资背景背书，发挥产业协同作用，深度整合珠宝产业“供”、“需”端资源，在上游资源对接上具备一定优势。公司与国内外黄金珠宝供应商、加工商直接对接并确立了合作关系，举办多场国内看货会、保税展会等</w:t>
      </w:r>
      <w:r>
        <w:rPr>
          <w:rFonts w:hint="eastAsia" w:ascii="宋体" w:hAnsi="宋体" w:cs="宋体"/>
          <w:sz w:val="21"/>
          <w:szCs w:val="21"/>
          <w:shd w:val="clear" w:fill="FFFFFF"/>
          <w:lang w:eastAsia="zh-CN"/>
        </w:rPr>
        <w:t>，</w:t>
      </w:r>
      <w:r>
        <w:rPr>
          <w:rFonts w:hint="eastAsia" w:ascii="宋体" w:hAnsi="宋体" w:eastAsia="宋体" w:cs="宋体"/>
          <w:sz w:val="21"/>
          <w:szCs w:val="21"/>
          <w:shd w:val="clear" w:fill="FFFFFF"/>
        </w:rPr>
        <w:t>降低了</w:t>
      </w:r>
      <w:r>
        <w:rPr>
          <w:rFonts w:hint="eastAsia" w:ascii="宋体" w:hAnsi="宋体" w:cs="宋体"/>
          <w:sz w:val="21"/>
          <w:szCs w:val="21"/>
          <w:shd w:val="clear" w:fill="FFFFFF"/>
          <w:lang w:val="en-US" w:eastAsia="zh-CN"/>
        </w:rPr>
        <w:t>看货及</w:t>
      </w:r>
      <w:r>
        <w:rPr>
          <w:rFonts w:hint="eastAsia" w:ascii="宋体" w:hAnsi="宋体" w:eastAsia="宋体" w:cs="宋体"/>
          <w:sz w:val="21"/>
          <w:szCs w:val="21"/>
          <w:shd w:val="clear" w:fill="FFFFFF"/>
        </w:rPr>
        <w:t>原材料采购成本，提升了企业的运转效率。</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1"/>
          <w:szCs w:val="21"/>
          <w:shd w:val="clear" w:fill="FFFFFF"/>
        </w:rPr>
        <w:t>在拓展客户</w:t>
      </w:r>
      <w:r>
        <w:rPr>
          <w:rFonts w:hint="eastAsia" w:ascii="宋体" w:hAnsi="宋体" w:cs="宋体"/>
          <w:sz w:val="21"/>
          <w:szCs w:val="21"/>
          <w:shd w:val="clear" w:fill="FFFFFF"/>
          <w:lang w:val="en-US" w:eastAsia="zh-CN"/>
        </w:rPr>
        <w:t>方面</w:t>
      </w:r>
      <w:r>
        <w:rPr>
          <w:rFonts w:hint="eastAsia" w:ascii="宋体" w:hAnsi="宋体" w:eastAsia="宋体" w:cs="宋体"/>
          <w:sz w:val="21"/>
          <w:szCs w:val="21"/>
          <w:shd w:val="clear" w:fill="FFFFFF"/>
        </w:rPr>
        <w:t>，公司积累了一定的行业资源和影响力。与业内权威机构协会中国珠宝玉石首饰行业协会、深圳黄金珠宝首饰行业协会等密切合作，积极参与并组织各类行业活动的举办，参与行业标准制定，不断扩大行业知名度和影响力。同时还紧抓数字化趋势，通过数字化转型发展线上平台，目前平台已初步具备一定的业务支撑和数字化服务能力。</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cs="宋体"/>
          <w:sz w:val="21"/>
          <w:szCs w:val="21"/>
          <w:shd w:val="clear" w:fill="FFFFFF"/>
          <w:lang w:val="en-US" w:eastAsia="zh-CN"/>
        </w:rPr>
        <w:t>另外，</w:t>
      </w:r>
      <w:r>
        <w:rPr>
          <w:rFonts w:hint="eastAsia" w:ascii="宋体" w:hAnsi="宋体" w:eastAsia="宋体" w:cs="宋体"/>
          <w:sz w:val="21"/>
          <w:szCs w:val="21"/>
          <w:shd w:val="clear" w:fill="FFFFFF"/>
        </w:rPr>
        <w:t>公司还通过商业综合体运营及物业价值提升，带来了稳定的业务收入及现金流，为公司长期发展提供坚实的基础。目前公司是水贝片区特力-吉盟黄金首饰产业园内的最大业主，特力珠宝大厦、特力金钻交易大厦均已先后投入使用，并保持较高的出租率。同时，公司计划通过质量提升、旧改等方式建设符合市、区及本公司整体战略布局的创新产业项目。</w:t>
      </w:r>
    </w:p>
    <w:p>
      <w:pPr>
        <w:pStyle w:val="8"/>
        <w:keepNext w:val="0"/>
        <w:keepLines w:val="0"/>
        <w:widowControl/>
        <w:suppressLineNumbers w:val="0"/>
        <w:shd w:val="clear" w:fill="FFFFFF"/>
        <w:spacing w:before="0" w:beforeAutospacing="0" w:after="0" w:afterAutospacing="0" w:line="360" w:lineRule="auto"/>
        <w:ind w:left="0" w:right="0" w:firstLine="422"/>
        <w:rPr>
          <w:rFonts w:hint="eastAsia" w:ascii="宋体" w:hAnsi="宋体" w:eastAsia="宋体" w:cs="宋体"/>
          <w:sz w:val="24"/>
          <w:szCs w:val="24"/>
        </w:rPr>
      </w:pPr>
      <w:r>
        <w:rPr>
          <w:rStyle w:val="11"/>
          <w:rFonts w:hint="eastAsia" w:ascii="宋体" w:hAnsi="宋体" w:eastAsia="宋体" w:cs="宋体"/>
          <w:sz w:val="21"/>
          <w:szCs w:val="21"/>
          <w:shd w:val="clear" w:fill="FFFFFF"/>
        </w:rPr>
        <w:t>（三）管理优势</w:t>
      </w:r>
    </w:p>
    <w:p>
      <w:pPr>
        <w:pStyle w:val="8"/>
        <w:keepNext w:val="0"/>
        <w:keepLines w:val="0"/>
        <w:widowControl/>
        <w:suppressLineNumbers w:val="0"/>
        <w:shd w:val="clear" w:fill="FFFFFF"/>
        <w:spacing w:before="0" w:beforeAutospacing="0" w:after="0" w:afterAutospacing="0" w:line="360" w:lineRule="auto"/>
        <w:ind w:left="0" w:right="0" w:firstLine="420"/>
        <w:rPr>
          <w:rFonts w:hint="eastAsia" w:ascii="宋体" w:hAnsi="宋体" w:eastAsia="宋体" w:cs="宋体"/>
          <w:sz w:val="21"/>
          <w:szCs w:val="21"/>
          <w:shd w:val="clear" w:fill="FFFFFF"/>
        </w:rPr>
      </w:pPr>
      <w:r>
        <w:rPr>
          <w:rFonts w:hint="eastAsia" w:ascii="宋体" w:hAnsi="宋体" w:eastAsia="宋体" w:cs="宋体"/>
          <w:sz w:val="21"/>
          <w:szCs w:val="21"/>
          <w:shd w:val="clear" w:fill="FFFFFF"/>
        </w:rPr>
        <w:t>公司持续提升管理水平，强化战略分解与执行，优化调整组织架构，提升职能保障能力。公司从管理促进经营的角度，以经营为导向，结合公司的实际情况，建立了“4S”管理主线体系，从战略规划、商业计划到管理报表、考核评价，树立科学、闭环的管理理念，打通各项管理环节，统一服务于公司的战略落地。</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sz w:val="21"/>
          <w:szCs w:val="21"/>
        </w:rPr>
        <w:t>在风险控制方面，公司制定了供应商准入标准、客户评估体系、采购比价体系等严格的业务内控流程，实现对资金、信息、物流等多层次的风控，同时加强了内部自查与风控体系建设，在业务开展过程中持续优化业务流程与内控体系，在风险可控的前提下开展新品类、新业务模式的研究和创新。借助信息化系统建设，通过系统数据分析与前瞻，提升了业务与风控部门的风险预警能力。</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sz w:val="21"/>
          <w:szCs w:val="21"/>
        </w:rPr>
        <w:t>在人力资源方面，优化员工聘用机制和面试流程，通过双向流动释放组织活力，优化完善培训体系，初步建立以管理能力测评、反馈为核心的中层管理人员培训机制，加大人才培养力度。</w:t>
      </w:r>
    </w:p>
    <w:p>
      <w:pPr>
        <w:pStyle w:val="8"/>
        <w:keepNext w:val="0"/>
        <w:keepLines w:val="0"/>
        <w:widowControl/>
        <w:suppressLineNumbers w:val="0"/>
        <w:rPr>
          <w:rFonts w:ascii="宋体" w:hAnsi="宋体" w:eastAsia="宋体" w:cs="宋体"/>
          <w:b/>
          <w:bCs/>
          <w:sz w:val="24"/>
          <w:szCs w:val="24"/>
        </w:rPr>
      </w:pPr>
      <w:bookmarkStart w:id="17" w:name="_Toc988906"/>
      <w:r>
        <w:rPr>
          <w:rFonts w:ascii="宋体" w:hAnsi="宋体" w:eastAsia="宋体" w:cs="宋体"/>
          <w:b/>
          <w:bCs/>
          <w:sz w:val="24"/>
          <w:szCs w:val="24"/>
        </w:rPr>
        <w:t>四、主营业务分析</w:t>
      </w:r>
      <w:bookmarkEnd w:id="17"/>
    </w:p>
    <w:p>
      <w:pPr>
        <w:keepNext/>
        <w:keepLines/>
        <w:spacing w:before="300" w:after="300" w:line="280" w:lineRule="exact"/>
        <w:jc w:val="left"/>
        <w:outlineLvl w:val="2"/>
        <w:rPr>
          <w:rStyle w:val="11"/>
          <w:rFonts w:hint="eastAsia" w:ascii="宋体" w:hAnsi="宋体" w:eastAsia="宋体" w:cs="宋体"/>
          <w:kern w:val="0"/>
          <w:sz w:val="21"/>
          <w:szCs w:val="21"/>
          <w:shd w:val="clear" w:fill="FFFFFF"/>
          <w:lang w:val="en-US" w:eastAsia="zh-CN" w:bidi="ar"/>
        </w:rPr>
      </w:pPr>
      <w:bookmarkStart w:id="18" w:name="_Toc988907"/>
      <w:r>
        <w:rPr>
          <w:rStyle w:val="11"/>
          <w:rFonts w:hint="eastAsia" w:ascii="宋体" w:hAnsi="宋体" w:eastAsia="宋体" w:cs="宋体"/>
          <w:kern w:val="0"/>
          <w:sz w:val="21"/>
          <w:szCs w:val="21"/>
          <w:shd w:val="clear" w:fill="FFFFFF"/>
          <w:lang w:val="en-US" w:eastAsia="zh-CN" w:bidi="ar"/>
        </w:rPr>
        <w:t>1、概述</w:t>
      </w:r>
      <w:bookmarkEnd w:id="18"/>
    </w:p>
    <w:p>
      <w:pPr>
        <w:pStyle w:val="8"/>
        <w:keepNext w:val="0"/>
        <w:keepLines w:val="0"/>
        <w:widowControl/>
        <w:suppressLineNumbers w:val="0"/>
        <w:spacing w:before="0" w:beforeAutospacing="0" w:after="0" w:afterAutospacing="0" w:line="400" w:lineRule="atLeast"/>
        <w:ind w:left="0" w:right="0" w:firstLine="420"/>
        <w:jc w:val="left"/>
        <w:rPr>
          <w:rFonts w:hint="default" w:ascii="Times New Roman" w:hAnsi="Times New Roman" w:cs="Times New Roman"/>
          <w:sz w:val="24"/>
          <w:szCs w:val="24"/>
        </w:rPr>
      </w:pPr>
      <w:r>
        <w:rPr>
          <w:rFonts w:hint="eastAsia" w:ascii="宋体" w:hAnsi="宋体" w:eastAsia="宋体" w:cs="宋体"/>
          <w:sz w:val="21"/>
          <w:szCs w:val="21"/>
        </w:rPr>
        <w:t>2023年，在</w:t>
      </w:r>
      <w:r>
        <w:rPr>
          <w:rFonts w:hint="eastAsia" w:ascii="宋体" w:hAnsi="宋体" w:cs="宋体"/>
          <w:sz w:val="21"/>
          <w:szCs w:val="21"/>
          <w:lang w:val="en-US" w:eastAsia="zh-CN"/>
        </w:rPr>
        <w:t>公司</w:t>
      </w:r>
      <w:r>
        <w:rPr>
          <w:rFonts w:hint="eastAsia" w:ascii="宋体" w:hAnsi="宋体" w:eastAsia="宋体" w:cs="宋体"/>
          <w:sz w:val="21"/>
          <w:szCs w:val="21"/>
        </w:rPr>
        <w:t>党委、董事会的正确领导下，全体特力人携手共进，奋勇向前，全年总体经营稳健，业绩持续向好。</w:t>
      </w:r>
    </w:p>
    <w:p>
      <w:pPr>
        <w:pStyle w:val="8"/>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4"/>
          <w:szCs w:val="24"/>
        </w:rPr>
      </w:pPr>
      <w:r>
        <w:rPr>
          <w:rFonts w:hint="eastAsia" w:ascii="宋体" w:hAnsi="宋体" w:eastAsia="宋体" w:cs="宋体"/>
          <w:sz w:val="21"/>
          <w:szCs w:val="21"/>
        </w:rPr>
        <w:t>2023年度，公司实现营业收入184,674万元，同比增长120.46%，收入变动的主要原因是黄金珠宝业务规模扩大。2023年，公司实现利润总额15,352万元，比2022年增加5,068万元；归属于母公司的净利润11,826万元，比2022年增加3,476万元，变动主要原因包括丧失子公司控制权后，变更计量方式、支付清算员工补偿金，公司金钻大厦投入运营等。2023年公司主要业务及经营情况：</w:t>
      </w:r>
    </w:p>
    <w:p>
      <w:pPr>
        <w:pStyle w:val="8"/>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4"/>
          <w:szCs w:val="24"/>
        </w:rPr>
      </w:pPr>
      <w:r>
        <w:rPr>
          <w:rFonts w:hint="eastAsia" w:ascii="宋体" w:hAnsi="宋体" w:eastAsia="宋体" w:cs="宋体"/>
          <w:sz w:val="21"/>
          <w:szCs w:val="21"/>
        </w:rPr>
        <w:t>（1）稳步推进综贸平台建设。综贸平台</w:t>
      </w:r>
      <w:r>
        <w:rPr>
          <w:rFonts w:ascii="Calibri" w:hAnsi="Calibri" w:eastAsia="宋体" w:cs="Calibri"/>
          <w:sz w:val="21"/>
          <w:szCs w:val="21"/>
        </w:rPr>
        <w:t>2023</w:t>
      </w:r>
      <w:r>
        <w:rPr>
          <w:rFonts w:hint="eastAsia" w:ascii="宋体" w:hAnsi="宋体" w:eastAsia="宋体" w:cs="宋体"/>
          <w:sz w:val="21"/>
          <w:szCs w:val="21"/>
        </w:rPr>
        <w:t>年升格为深圳五大交易平台之一</w:t>
      </w:r>
      <w:r>
        <w:rPr>
          <w:rFonts w:hint="eastAsia" w:ascii="宋体" w:hAnsi="宋体" w:cs="宋体"/>
          <w:sz w:val="21"/>
          <w:szCs w:val="21"/>
          <w:lang w:val="en-US" w:eastAsia="zh-CN"/>
        </w:rPr>
        <w:t>并</w:t>
      </w:r>
      <w:r>
        <w:rPr>
          <w:rFonts w:hint="eastAsia" w:ascii="宋体" w:hAnsi="宋体" w:eastAsia="宋体" w:cs="宋体"/>
          <w:sz w:val="21"/>
          <w:szCs w:val="21"/>
        </w:rPr>
        <w:t>面向全国推介，将平台业务精准推广至华东等区域；列入多个深圳市三年行动计划文件，行业影响力进一步提升；以平台为核心的特力珠宝文化产业园入选国家市场监督管理总局主办的</w:t>
      </w:r>
      <w:r>
        <w:rPr>
          <w:rFonts w:hint="default" w:ascii="Calibri" w:hAnsi="Calibri" w:eastAsia="宋体" w:cs="Calibri"/>
          <w:sz w:val="21"/>
          <w:szCs w:val="21"/>
        </w:rPr>
        <w:t>2023</w:t>
      </w:r>
      <w:r>
        <w:rPr>
          <w:rFonts w:hint="eastAsia" w:ascii="宋体" w:hAnsi="宋体" w:eastAsia="宋体" w:cs="宋体"/>
          <w:sz w:val="21"/>
          <w:szCs w:val="21"/>
        </w:rPr>
        <w:t>年中国商品市场综合百强榜单和中国商品市场时尚市场榜单，珠宝全产业链条服务功能更加完善；上游资源引进及珠宝品牌商合作取得积极进展。</w:t>
      </w:r>
    </w:p>
    <w:p>
      <w:pPr>
        <w:pStyle w:val="8"/>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4"/>
          <w:szCs w:val="24"/>
        </w:rPr>
      </w:pPr>
      <w:r>
        <w:rPr>
          <w:rFonts w:hint="eastAsia" w:ascii="宋体" w:hAnsi="宋体" w:eastAsia="宋体" w:cs="宋体"/>
          <w:sz w:val="21"/>
          <w:szCs w:val="21"/>
        </w:rPr>
        <w:t>（2）优化完善珠宝交易板块产品及服务。品类优势不断巩固，业务规模持续放大，全年共召开</w:t>
      </w:r>
      <w:r>
        <w:rPr>
          <w:rFonts w:hint="default" w:ascii="Calibri" w:hAnsi="Calibri" w:eastAsia="宋体" w:cs="Calibri"/>
          <w:sz w:val="21"/>
          <w:szCs w:val="21"/>
        </w:rPr>
        <w:t>14</w:t>
      </w:r>
      <w:r>
        <w:rPr>
          <w:rFonts w:hint="eastAsia" w:ascii="宋体" w:hAnsi="宋体" w:eastAsia="宋体" w:cs="宋体"/>
          <w:sz w:val="21"/>
          <w:szCs w:val="21"/>
        </w:rPr>
        <w:t>场分品类看货会</w:t>
      </w:r>
      <w:r>
        <w:rPr>
          <w:rFonts w:hint="eastAsia" w:ascii="仿宋" w:hAnsi="仿宋" w:eastAsia="仿宋" w:cs="仿宋"/>
          <w:sz w:val="21"/>
          <w:szCs w:val="21"/>
        </w:rPr>
        <w:t>，</w:t>
      </w:r>
      <w:r>
        <w:rPr>
          <w:rFonts w:hint="eastAsia" w:ascii="宋体" w:hAnsi="宋体" w:eastAsia="宋体" w:cs="宋体"/>
          <w:sz w:val="21"/>
          <w:szCs w:val="21"/>
        </w:rPr>
        <w:t>2023年进出境额同比稳定增长；直接对接上游资源，降低客户采购看货成本，引进缅甸珍珠司，举办2023年首届缅甸珍珠专项采购会，对接泰国宝协和斯里兰卡珠宝商协会，为平台会员接洽稳定、优质的珍珠、彩色宝石货源提供了通道。</w:t>
      </w:r>
    </w:p>
    <w:p>
      <w:pPr>
        <w:pStyle w:val="8"/>
        <w:keepNext w:val="0"/>
        <w:keepLines w:val="0"/>
        <w:widowControl/>
        <w:suppressLineNumbers w:val="0"/>
        <w:spacing w:before="0" w:beforeAutospacing="0" w:after="0" w:afterAutospacing="0" w:line="400" w:lineRule="atLeast"/>
        <w:ind w:left="0" w:right="0" w:firstLine="420"/>
        <w:jc w:val="both"/>
        <w:rPr>
          <w:rFonts w:hint="default" w:ascii="宋体" w:hAnsi="宋体" w:eastAsia="宋体" w:cs="宋体"/>
          <w:sz w:val="21"/>
          <w:szCs w:val="21"/>
        </w:rPr>
      </w:pPr>
      <w:r>
        <w:rPr>
          <w:rFonts w:hint="eastAsia" w:ascii="宋体" w:hAnsi="宋体" w:eastAsia="宋体" w:cs="宋体"/>
          <w:sz w:val="21"/>
          <w:szCs w:val="21"/>
        </w:rPr>
        <w:t>（3）促进黄金板块市场开拓和数字化双线发展。创新业务模式，大力拓展市场渠道，引入小微珠宝企业共建特力水贝设计师文创馆，强化供应链整合与服务能力，开设线下门店和线上旗舰店开展投资金产品销售业务；开展业务数字化运营，为客户带来更好的服务和更多的价值。</w:t>
      </w:r>
    </w:p>
    <w:p>
      <w:pPr>
        <w:pStyle w:val="8"/>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4"/>
          <w:szCs w:val="24"/>
        </w:rPr>
      </w:pPr>
      <w:r>
        <w:rPr>
          <w:rFonts w:hint="eastAsia" w:ascii="宋体" w:hAnsi="宋体" w:eastAsia="宋体" w:cs="宋体"/>
          <w:sz w:val="21"/>
          <w:szCs w:val="21"/>
        </w:rPr>
        <w:t>（4）提升物理平台板块的运营水平。金钻大厦招商运营工作交出优异的答卷，2023年底整体入驻率超95%，引进珠宝知名企业，打造珠宝总部基地，汇聚行业流量；珠宝大厦大力挖潜增收，招商运营工作展现新作为；特力家居体验馆收入稳步攀升；传统物业多个项目租金收益大幅跃升。</w:t>
      </w:r>
    </w:p>
    <w:p>
      <w:pPr>
        <w:pStyle w:val="8"/>
        <w:keepNext w:val="0"/>
        <w:keepLines w:val="0"/>
        <w:widowControl/>
        <w:suppressLineNumbers w:val="0"/>
        <w:spacing w:before="0" w:beforeAutospacing="0" w:after="0" w:afterAutospacing="0" w:line="400" w:lineRule="atLeast"/>
        <w:ind w:left="0" w:right="0" w:firstLine="420"/>
        <w:jc w:val="left"/>
        <w:rPr>
          <w:rFonts w:hint="default" w:ascii="Times New Roman" w:hAnsi="Times New Roman" w:cs="Times New Roman"/>
          <w:sz w:val="24"/>
          <w:szCs w:val="24"/>
        </w:rPr>
      </w:pPr>
      <w:r>
        <w:rPr>
          <w:rFonts w:hint="eastAsia" w:ascii="宋体" w:hAnsi="宋体" w:eastAsia="宋体" w:cs="宋体"/>
          <w:sz w:val="21"/>
          <w:szCs w:val="21"/>
        </w:rPr>
        <w:t>（5）提高内部管理质效。战略管理规范有序，引领作用更加有力，制定并实施以战略驱动为核心的4S管理体系；围绕战略目标优化组织架构，完成OKR管理系统的全员推广；加强人才队伍建设，加大人才培养力度；企业文化走深走实，多次组织开展奋斗者公约讨论，进一步夯实奋斗者文化基础。</w:t>
      </w:r>
    </w:p>
    <w:p>
      <w:pPr>
        <w:pStyle w:val="8"/>
        <w:keepNext w:val="0"/>
        <w:keepLines w:val="0"/>
        <w:widowControl/>
        <w:suppressLineNumbers w:val="0"/>
        <w:spacing w:before="0" w:beforeAutospacing="0" w:after="0" w:afterAutospacing="0" w:line="400" w:lineRule="atLeast"/>
        <w:ind w:left="0" w:right="0" w:firstLine="420"/>
        <w:jc w:val="left"/>
        <w:rPr>
          <w:rFonts w:hint="default" w:ascii="Times New Roman" w:hAnsi="Times New Roman" w:cs="Times New Roman"/>
          <w:sz w:val="24"/>
          <w:szCs w:val="24"/>
        </w:rPr>
      </w:pPr>
      <w:r>
        <w:rPr>
          <w:rFonts w:hint="eastAsia" w:ascii="宋体" w:hAnsi="宋体" w:eastAsia="宋体" w:cs="宋体"/>
          <w:sz w:val="21"/>
          <w:szCs w:val="21"/>
        </w:rPr>
        <w:t>（6）坚持党建引领。加强党建学习，围绕12个专题深入基层开展调研，实地走访、座谈交流18次，推动一批难点问题得以解决。公司党委注重加强党的基层组织建设，发挥党员的先锋模范作用，积极探索创新党建工作方式方法，推动公司各项工作的高质量发展。</w:t>
      </w:r>
    </w:p>
    <w:p>
      <w:pPr>
        <w:keepNext/>
        <w:keepLines/>
        <w:spacing w:before="300" w:after="300" w:line="280" w:lineRule="exact"/>
        <w:jc w:val="left"/>
        <w:outlineLvl w:val="2"/>
        <w:rPr>
          <w:rFonts w:ascii="宋体" w:hAnsi="宋体" w:eastAsia="宋体" w:cs="宋体"/>
          <w:b/>
          <w:bCs/>
          <w:sz w:val="21"/>
          <w:szCs w:val="21"/>
        </w:rPr>
      </w:pPr>
      <w:bookmarkStart w:id="19" w:name="_Toc988908"/>
      <w:r>
        <w:rPr>
          <w:rFonts w:ascii="宋体" w:hAnsi="宋体" w:eastAsia="宋体" w:cs="宋体"/>
          <w:b/>
          <w:bCs/>
          <w:sz w:val="21"/>
          <w:szCs w:val="21"/>
        </w:rPr>
        <w:t>2、收入与成本</w:t>
      </w:r>
      <w:bookmarkEnd w:id="19"/>
    </w:p>
    <w:p>
      <w:pPr>
        <w:keepNext/>
        <w:keepLines/>
        <w:spacing w:before="300" w:after="300" w:line="280" w:lineRule="exact"/>
        <w:jc w:val="left"/>
        <w:outlineLvl w:val="3"/>
        <w:rPr>
          <w:rFonts w:ascii="宋体" w:hAnsi="宋体" w:eastAsia="宋体" w:cs="宋体"/>
          <w:b/>
          <w:bCs/>
          <w:sz w:val="21"/>
          <w:szCs w:val="21"/>
        </w:rPr>
      </w:pPr>
      <w:bookmarkStart w:id="20" w:name="_Toc988909"/>
      <w:r>
        <w:rPr>
          <w:rFonts w:ascii="宋体" w:hAnsi="宋体" w:eastAsia="宋体" w:cs="宋体"/>
          <w:b/>
          <w:bCs/>
          <w:sz w:val="21"/>
          <w:szCs w:val="21"/>
        </w:rPr>
        <w:t>（1） 营业收入构成</w:t>
      </w:r>
      <w:bookmarkEnd w:id="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732"/>
        <w:gridCol w:w="1480"/>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321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营业收入合计</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421,483,320.58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50.32%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265.88%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174,756,009.80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196,357,649.27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23.44%</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45,059,294.86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5.38%</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421,483,320.58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50.32%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265.88%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174,756,009.80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196,357,649.27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23.44%</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45,059,294.86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5.38%</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华南地区</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1,417,912,052.46</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76.78%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626,167,138.85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74.75%</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ascii="宋体" w:hAnsi="宋体" w:eastAsia="宋体" w:cs="宋体"/>
                <w:sz w:val="18"/>
                <w:szCs w:val="18"/>
              </w:rPr>
              <w:t>126.44%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华东地区</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335,179,719.17</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54,966,535.20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ascii="宋体" w:hAnsi="宋体" w:eastAsia="宋体" w:cs="宋体"/>
                <w:sz w:val="18"/>
                <w:szCs w:val="18"/>
              </w:rPr>
              <w:t>509.79%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北方地区</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85,710,840.18</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153,009,382.75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18.27%</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ascii="宋体" w:hAnsi="宋体" w:eastAsia="宋体" w:cs="宋体"/>
                <w:sz w:val="18"/>
                <w:szCs w:val="18"/>
              </w:rPr>
              <w:t>-43.98%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华中地区</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6,925,197.35</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3,513,217.71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ascii="宋体" w:hAnsi="宋体" w:eastAsia="宋体" w:cs="宋体"/>
                <w:sz w:val="18"/>
                <w:szCs w:val="18"/>
              </w:rPr>
              <w:t>97.12%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其他地区</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1,011,032.73</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直接销售</w:t>
            </w:r>
          </w:p>
        </w:tc>
        <w:tc>
          <w:tcPr>
            <w:tcW w:w="17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120.46%</w:t>
            </w:r>
          </w:p>
        </w:tc>
      </w:tr>
    </w:tbl>
    <w:p>
      <w:pPr>
        <w:keepNext/>
        <w:keepLines/>
        <w:spacing w:before="300" w:after="300" w:line="280" w:lineRule="exact"/>
        <w:jc w:val="left"/>
        <w:outlineLvl w:val="3"/>
        <w:rPr>
          <w:rFonts w:ascii="宋体" w:hAnsi="宋体" w:eastAsia="宋体" w:cs="宋体"/>
          <w:b/>
          <w:bCs/>
          <w:sz w:val="18"/>
          <w:szCs w:val="18"/>
        </w:rPr>
      </w:pPr>
      <w:bookmarkStart w:id="21" w:name="_Toc988910"/>
      <w:r>
        <w:rPr>
          <w:rFonts w:ascii="宋体" w:hAnsi="宋体" w:eastAsia="宋体" w:cs="宋体"/>
          <w:b/>
          <w:bCs/>
          <w:sz w:val="18"/>
          <w:szCs w:val="18"/>
        </w:rPr>
        <w:t>（2） 占公司营业收入或营业利润10%以上的行业、产品、地区、销售模式的情况</w:t>
      </w:r>
      <w:bookmarkEnd w:id="21"/>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58"/>
        <w:gridCol w:w="1783"/>
        <w:gridCol w:w="1774"/>
        <w:gridCol w:w="952"/>
        <w:gridCol w:w="986"/>
        <w:gridCol w:w="1337"/>
        <w:gridCol w:w="11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7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9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w:t>
            </w:r>
          </w:p>
        </w:tc>
        <w:tc>
          <w:tcPr>
            <w:tcW w:w="9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营业收入比上年同期增减</w:t>
            </w:r>
          </w:p>
        </w:tc>
        <w:tc>
          <w:tcPr>
            <w:tcW w:w="13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营业成本比上年同期增减</w:t>
            </w:r>
          </w:p>
        </w:tc>
        <w:tc>
          <w:tcPr>
            <w:tcW w:w="11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265.88%</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266.98%</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43.35%</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36.11%</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-78.29%</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-79.70%</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14.19%</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-74.53%</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-72.49%</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265.88%</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266.98%</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43.35%</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36.11%</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-78.29%</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-79.70%</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14.19%</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-74.53%</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-72.49%</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华南地区</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1,417,912,052.46</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1,227,470,886.16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13.43%</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126.44%</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华东地区</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335,179,719.17</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328,741,786.92</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509.79%</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504.35%</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北方地区</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85,710,840.18</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84,311,790.11</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-43.98%</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-44.32%</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华中地区</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6,925,197.35</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6,817,436.10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97.12%</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96.09%</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其他地区</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1,011,032.73</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995,300.31</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直接销售</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1,648,337,199.60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10.74%</w:t>
            </w: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120.46%</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135.38%</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公司主营业务数据统计口径在报告期发生调整的情况下，公司最近1年按报告期末口径调整后的主营业务数据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2" w:name="_Toc988911"/>
      <w:r>
        <w:rPr>
          <w:rFonts w:ascii="宋体" w:hAnsi="宋体" w:eastAsia="宋体" w:cs="宋体"/>
          <w:b/>
          <w:bCs/>
          <w:sz w:val="18"/>
          <w:szCs w:val="18"/>
        </w:rPr>
        <w:t>（3） 公司实物销售收入是否大于劳务收入</w:t>
      </w:r>
      <w:bookmarkEnd w:id="2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行业分类</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黄金批发及零售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KG</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3,563.59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1,128</w:t>
            </w:r>
            <w:r>
              <w:rPr>
                <w:rFonts w:ascii="宋体" w:hAnsi="宋体" w:eastAsia="宋体" w:cs="宋体"/>
                <w:sz w:val="18"/>
                <w:szCs w:val="18"/>
              </w:rPr>
              <w:t>.</w:t>
            </w:r>
            <w:r>
              <w:rPr>
                <w:rFonts w:hint="eastAsia" w:ascii="宋体" w:hAnsi="宋体" w:cs="宋体"/>
                <w:sz w:val="18"/>
                <w:szCs w:val="18"/>
                <w:lang w:val="en-US" w:eastAsia="zh-CN"/>
              </w:rPr>
              <w:t>44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lang w:val="en-US" w:eastAsia="zh-CN"/>
              </w:rPr>
              <w:t>215</w:t>
            </w:r>
            <w:r>
              <w:rPr>
                <w:rFonts w:ascii="宋体" w:hAnsi="宋体" w:eastAsia="宋体" w:cs="宋体"/>
                <w:sz w:val="18"/>
                <w:szCs w:val="18"/>
              </w:rPr>
              <w:t>.</w:t>
            </w:r>
            <w:r>
              <w:rPr>
                <w:rFonts w:hint="eastAsia" w:ascii="宋体" w:hAnsi="宋体" w:cs="宋体"/>
                <w:sz w:val="18"/>
                <w:szCs w:val="18"/>
                <w:lang w:val="en-US" w:eastAsia="zh-CN"/>
              </w:rPr>
              <w:t>80</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生产量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KG</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3,781.54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1,345</w:t>
            </w:r>
            <w:r>
              <w:rPr>
                <w:rFonts w:ascii="宋体" w:hAnsi="宋体" w:eastAsia="宋体" w:cs="宋体"/>
                <w:sz w:val="18"/>
                <w:szCs w:val="18"/>
              </w:rPr>
              <w:t>.</w:t>
            </w:r>
            <w:r>
              <w:rPr>
                <w:rFonts w:hint="eastAsia" w:ascii="宋体" w:hAnsi="宋体" w:cs="宋体"/>
                <w:sz w:val="18"/>
                <w:szCs w:val="18"/>
                <w:lang w:val="en-US" w:eastAsia="zh-CN"/>
              </w:rPr>
              <w:t>47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lang w:val="en-US" w:eastAsia="zh-CN"/>
              </w:rPr>
              <w:t>181</w:t>
            </w:r>
            <w:r>
              <w:rPr>
                <w:rFonts w:ascii="宋体" w:hAnsi="宋体" w:eastAsia="宋体" w:cs="宋体"/>
                <w:sz w:val="18"/>
                <w:szCs w:val="18"/>
              </w:rPr>
              <w:t>.</w:t>
            </w:r>
            <w:r>
              <w:rPr>
                <w:rFonts w:hint="eastAsia" w:ascii="宋体" w:hAnsi="宋体" w:cs="宋体"/>
                <w:sz w:val="18"/>
                <w:szCs w:val="18"/>
                <w:lang w:val="en-US" w:eastAsia="zh-CN"/>
              </w:rPr>
              <w:t>06</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KG</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434.98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217.03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相关数据同比发生变动30%以上的原因说明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spacing w:before="0" w:beforeAutospacing="0" w:after="0" w:afterAutospacing="0"/>
        <w:ind w:left="0" w:right="0"/>
        <w:jc w:val="both"/>
        <w:rPr>
          <w:rFonts w:hint="eastAsia" w:ascii="Times New Roman" w:hAnsi="Times New Roman" w:eastAsia="宋体" w:cs="Times New Roman"/>
          <w:sz w:val="21"/>
          <w:szCs w:val="21"/>
          <w:lang w:eastAsia="zh-CN"/>
        </w:rPr>
      </w:pPr>
      <w:r>
        <w:rPr>
          <w:rFonts w:hint="eastAsia" w:ascii="宋体" w:hAnsi="宋体" w:eastAsia="宋体" w:cs="宋体"/>
          <w:sz w:val="21"/>
          <w:szCs w:val="21"/>
        </w:rPr>
        <w:t>国润黄金于2022年6月28日注册，并逐步开展业务</w:t>
      </w:r>
      <w:r>
        <w:rPr>
          <w:rFonts w:hint="eastAsia" w:ascii="宋体" w:hAnsi="宋体" w:cs="宋体"/>
          <w:sz w:val="21"/>
          <w:szCs w:val="21"/>
          <w:lang w:eastAsia="zh-CN"/>
        </w:rPr>
        <w:t>，</w:t>
      </w:r>
      <w:r>
        <w:rPr>
          <w:rFonts w:hint="eastAsia" w:ascii="宋体" w:hAnsi="宋体" w:cs="宋体"/>
          <w:sz w:val="21"/>
          <w:szCs w:val="21"/>
          <w:lang w:val="en-US" w:eastAsia="zh-CN"/>
        </w:rPr>
        <w:t>报告期内，国润黄金打造的</w:t>
      </w:r>
      <w:r>
        <w:rPr>
          <w:rFonts w:hint="eastAsia" w:ascii="宋体" w:hAnsi="宋体" w:eastAsia="宋体" w:cs="宋体"/>
          <w:sz w:val="21"/>
          <w:szCs w:val="21"/>
        </w:rPr>
        <w:t>黄金流转平台</w:t>
      </w:r>
      <w:r>
        <w:rPr>
          <w:rFonts w:hint="eastAsia" w:ascii="宋体" w:hAnsi="宋体" w:cs="宋体"/>
          <w:sz w:val="21"/>
          <w:szCs w:val="21"/>
          <w:lang w:val="en-US" w:eastAsia="zh-CN"/>
        </w:rPr>
        <w:t>打开</w:t>
      </w:r>
      <w:r>
        <w:rPr>
          <w:rFonts w:hint="eastAsia" w:ascii="宋体" w:hAnsi="宋体" w:eastAsia="宋体" w:cs="宋体"/>
          <w:sz w:val="21"/>
          <w:szCs w:val="21"/>
        </w:rPr>
        <w:t>发展新局面</w:t>
      </w:r>
      <w:r>
        <w:rPr>
          <w:rFonts w:hint="eastAsia" w:ascii="宋体" w:hAnsi="宋体" w:cs="宋体"/>
          <w:sz w:val="21"/>
          <w:szCs w:val="21"/>
          <w:lang w:eastAsia="zh-CN"/>
        </w:rPr>
        <w:t>，</w:t>
      </w:r>
      <w:r>
        <w:rPr>
          <w:rFonts w:hint="eastAsia" w:ascii="宋体" w:hAnsi="宋体" w:cs="宋体"/>
          <w:sz w:val="21"/>
          <w:szCs w:val="21"/>
          <w:lang w:val="en-US" w:eastAsia="zh-CN"/>
        </w:rPr>
        <w:t>业务量大幅提升</w:t>
      </w:r>
      <w:r>
        <w:rPr>
          <w:rFonts w:hint="eastAsia" w:ascii="宋体" w:hAnsi="宋体" w:eastAsia="宋体" w:cs="宋体"/>
          <w:sz w:val="21"/>
          <w:szCs w:val="21"/>
        </w:rPr>
        <w:t>。</w:t>
      </w:r>
    </w:p>
    <w:p>
      <w:pPr>
        <w:keepNext/>
        <w:keepLines/>
        <w:spacing w:before="300" w:after="300" w:line="280" w:lineRule="exact"/>
        <w:jc w:val="left"/>
        <w:outlineLvl w:val="3"/>
        <w:rPr>
          <w:rFonts w:ascii="宋体" w:hAnsi="宋体" w:eastAsia="宋体" w:cs="宋体"/>
          <w:b/>
          <w:bCs/>
          <w:sz w:val="18"/>
          <w:szCs w:val="18"/>
        </w:rPr>
      </w:pPr>
      <w:bookmarkStart w:id="23" w:name="_Toc988912"/>
      <w:r>
        <w:rPr>
          <w:rFonts w:ascii="宋体" w:hAnsi="宋体" w:eastAsia="宋体" w:cs="宋体"/>
          <w:b/>
          <w:bCs/>
          <w:sz w:val="18"/>
          <w:szCs w:val="18"/>
        </w:rPr>
        <w:t>（4） 公司已签订的重大销售合同、重大采购合同截至本报告期的履行情况</w:t>
      </w:r>
      <w:bookmarkEnd w:id="2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4" w:name="_Toc988913"/>
      <w:r>
        <w:rPr>
          <w:rFonts w:ascii="宋体" w:hAnsi="宋体" w:eastAsia="宋体" w:cs="宋体"/>
          <w:b/>
          <w:bCs/>
          <w:sz w:val="18"/>
          <w:szCs w:val="18"/>
        </w:rPr>
        <w:t>（5） 营业成本构成</w:t>
      </w:r>
      <w:bookmarkEnd w:id="24"/>
    </w:p>
    <w:p>
      <w:pPr>
        <w:spacing w:before="100" w:after="100" w:line="240" w:lineRule="exact"/>
        <w:jc w:val="left"/>
        <w:rPr>
          <w:rFonts w:ascii="宋体" w:hAnsi="宋体" w:eastAsia="宋体" w:cs="宋体"/>
          <w:sz w:val="18"/>
          <w:szCs w:val="18"/>
        </w:rPr>
      </w:pPr>
      <w:r>
        <w:rPr>
          <w:rFonts w:ascii="宋体" w:hAnsi="宋体" w:eastAsia="宋体" w:cs="宋体"/>
          <w:sz w:val="18"/>
          <w:szCs w:val="18"/>
        </w:rPr>
        <w:t>行业和产品分类</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90"/>
        <w:gridCol w:w="1551"/>
        <w:gridCol w:w="1783"/>
        <w:gridCol w:w="1054"/>
        <w:gridCol w:w="1560"/>
        <w:gridCol w:w="917"/>
        <w:gridCol w:w="1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行业分类</w:t>
            </w:r>
          </w:p>
        </w:tc>
        <w:tc>
          <w:tcPr>
            <w:tcW w:w="155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83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24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18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5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9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18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7" w:hRule="atLeast"/>
        </w:trPr>
        <w:tc>
          <w:tcPr>
            <w:tcW w:w="15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珠宝零售、批发</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91.90%</w:t>
            </w:r>
          </w:p>
        </w:tc>
        <w:tc>
          <w:tcPr>
            <w:tcW w:w="15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412,785,619.63</w:t>
            </w:r>
          </w:p>
        </w:tc>
        <w:tc>
          <w:tcPr>
            <w:tcW w:w="9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w:t>
            </w:r>
          </w:p>
        </w:tc>
        <w:tc>
          <w:tcPr>
            <w:tcW w:w="1184"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租赁、物业管理、其他</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w:t>
            </w:r>
          </w:p>
        </w:tc>
        <w:tc>
          <w:tcPr>
            <w:tcW w:w="15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62,659,156.85</w:t>
            </w:r>
          </w:p>
        </w:tc>
        <w:tc>
          <w:tcPr>
            <w:tcW w:w="9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w:t>
            </w:r>
          </w:p>
        </w:tc>
        <w:tc>
          <w:tcPr>
            <w:tcW w:w="1184"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8" w:hRule="atLeast"/>
        </w:trPr>
        <w:tc>
          <w:tcPr>
            <w:tcW w:w="15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汽车销售</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w:t>
            </w:r>
          </w:p>
        </w:tc>
        <w:tc>
          <w:tcPr>
            <w:tcW w:w="15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189,054,253.07</w:t>
            </w:r>
          </w:p>
        </w:tc>
        <w:tc>
          <w:tcPr>
            <w:tcW w:w="9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27.00%</w:t>
            </w:r>
          </w:p>
        </w:tc>
        <w:tc>
          <w:tcPr>
            <w:tcW w:w="1184"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74" w:hRule="atLeast"/>
        </w:trPr>
        <w:tc>
          <w:tcPr>
            <w:tcW w:w="15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ascii="宋体" w:hAnsi="宋体" w:eastAsia="宋体" w:cs="宋体"/>
                <w:sz w:val="18"/>
                <w:szCs w:val="18"/>
              </w:rPr>
              <w:t>汽车</w:t>
            </w:r>
            <w:r>
              <w:rPr>
                <w:rFonts w:hint="eastAsia" w:ascii="宋体" w:hAnsi="宋体" w:cs="宋体"/>
                <w:sz w:val="18"/>
                <w:szCs w:val="18"/>
                <w:lang w:val="en-US" w:eastAsia="zh-CN"/>
              </w:rPr>
              <w:t>维修、检测</w:t>
            </w:r>
          </w:p>
        </w:tc>
        <w:tc>
          <w:tcPr>
            <w:tcW w:w="17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0.60%</w:t>
            </w:r>
          </w:p>
        </w:tc>
        <w:tc>
          <w:tcPr>
            <w:tcW w:w="15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35,790,213.87</w:t>
            </w:r>
          </w:p>
        </w:tc>
        <w:tc>
          <w:tcPr>
            <w:tcW w:w="9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w:t>
            </w:r>
          </w:p>
        </w:tc>
        <w:tc>
          <w:tcPr>
            <w:tcW w:w="1184"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-72.49%</w:t>
            </w:r>
          </w:p>
        </w:tc>
      </w:tr>
    </w:tbl>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756"/>
        <w:gridCol w:w="1791"/>
        <w:gridCol w:w="1054"/>
        <w:gridCol w:w="1543"/>
        <w:gridCol w:w="943"/>
        <w:gridCol w:w="11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产品分类</w:t>
            </w:r>
          </w:p>
        </w:tc>
        <w:tc>
          <w:tcPr>
            <w:tcW w:w="175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84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248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17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5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9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17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7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珠宝零售、批发</w:t>
            </w:r>
          </w:p>
        </w:tc>
        <w:tc>
          <w:tcPr>
            <w:tcW w:w="1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91.90%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412,785,619.63</w:t>
            </w:r>
          </w:p>
        </w:tc>
        <w:tc>
          <w:tcPr>
            <w:tcW w:w="9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w:t>
            </w:r>
          </w:p>
        </w:tc>
        <w:tc>
          <w:tcPr>
            <w:tcW w:w="11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7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租赁、物业管理、其他</w:t>
            </w:r>
          </w:p>
        </w:tc>
        <w:tc>
          <w:tcPr>
            <w:tcW w:w="1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62,659,156.85</w:t>
            </w:r>
          </w:p>
        </w:tc>
        <w:tc>
          <w:tcPr>
            <w:tcW w:w="9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w:t>
            </w:r>
          </w:p>
        </w:tc>
        <w:tc>
          <w:tcPr>
            <w:tcW w:w="11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9"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7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汽车销售</w:t>
            </w:r>
          </w:p>
        </w:tc>
        <w:tc>
          <w:tcPr>
            <w:tcW w:w="1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189,054,253.07</w:t>
            </w:r>
          </w:p>
        </w:tc>
        <w:tc>
          <w:tcPr>
            <w:tcW w:w="9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27.00%</w:t>
            </w:r>
          </w:p>
        </w:tc>
        <w:tc>
          <w:tcPr>
            <w:tcW w:w="11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7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w:t>
            </w:r>
            <w:r>
              <w:rPr>
                <w:rFonts w:hint="eastAsia" w:ascii="宋体" w:hAnsi="宋体" w:cs="宋体"/>
                <w:sz w:val="18"/>
                <w:szCs w:val="18"/>
                <w:lang w:val="en-US" w:eastAsia="zh-CN"/>
              </w:rPr>
              <w:t>维修、检测</w:t>
            </w:r>
          </w:p>
        </w:tc>
        <w:tc>
          <w:tcPr>
            <w:tcW w:w="1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35,790,213.87</w:t>
            </w:r>
          </w:p>
        </w:tc>
        <w:tc>
          <w:tcPr>
            <w:tcW w:w="9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w:t>
            </w:r>
          </w:p>
        </w:tc>
        <w:tc>
          <w:tcPr>
            <w:tcW w:w="11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-72.49%</w:t>
            </w:r>
          </w:p>
        </w:tc>
      </w:tr>
    </w:tbl>
    <w:p>
      <w:pPr>
        <w:spacing w:before="100" w:after="100" w:line="240" w:lineRule="exact"/>
        <w:jc w:val="left"/>
      </w:pPr>
      <w:r>
        <w:rPr>
          <w:rFonts w:ascii="宋体" w:hAnsi="宋体" w:eastAsia="宋体" w:cs="宋体"/>
          <w:sz w:val="18"/>
          <w:szCs w:val="18"/>
        </w:rPr>
        <w:t>说明</w:t>
      </w:r>
      <w:r>
        <w:rPr>
          <w:rFonts w:hint="eastAsia" w:ascii="宋体" w:hAnsi="宋体" w:cs="宋体"/>
          <w:sz w:val="18"/>
          <w:szCs w:val="18"/>
          <w:lang w:eastAsia="zh-CN"/>
        </w:rPr>
        <w:t>：</w:t>
      </w: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18"/>
          <w:szCs w:val="18"/>
        </w:rPr>
      </w:pPr>
      <w:bookmarkStart w:id="25" w:name="_Toc988914"/>
      <w:r>
        <w:rPr>
          <w:rFonts w:ascii="宋体" w:hAnsi="宋体" w:eastAsia="宋体" w:cs="宋体"/>
          <w:b/>
          <w:bCs/>
          <w:sz w:val="18"/>
          <w:szCs w:val="18"/>
        </w:rPr>
        <w:t>（6） 报告期内合并范围是否发生变动</w:t>
      </w:r>
      <w:bookmarkEnd w:id="2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pStyle w:val="8"/>
        <w:keepNext w:val="0"/>
        <w:keepLines w:val="0"/>
        <w:widowControl/>
        <w:suppressLineNumbers w:val="0"/>
        <w:spacing w:before="0" w:beforeAutospacing="0" w:after="0" w:afterAutospacing="0" w:line="400" w:lineRule="atLeast"/>
        <w:ind w:left="0" w:right="0" w:firstLine="420"/>
        <w:jc w:val="both"/>
        <w:rPr>
          <w:rFonts w:hint="default" w:ascii="宋体" w:hAnsi="宋体" w:eastAsia="宋体" w:cs="宋体"/>
          <w:sz w:val="21"/>
          <w:szCs w:val="21"/>
        </w:rPr>
      </w:pPr>
      <w:r>
        <w:rPr>
          <w:rFonts w:hint="eastAsia" w:ascii="宋体" w:hAnsi="宋体" w:eastAsia="宋体" w:cs="宋体"/>
          <w:sz w:val="21"/>
          <w:szCs w:val="21"/>
        </w:rPr>
        <w:t>子公司特发华日营业期限届满前后，本公司曾与日方企业多次沟通关于特发华日营业期限延长、股权买卖、解散清算等事宜，但均未达成一致。在特发华日营业期限已届满，且公司与日方股东无法在特发华日营业期限届满之日起十五日内成立清算组进行清算的情况下，本公司作为持有特发华日60%</w:t>
      </w:r>
      <w:r>
        <w:rPr>
          <w:rFonts w:hint="default" w:ascii="宋体" w:hAnsi="宋体" w:eastAsia="宋体" w:cs="宋体"/>
          <w:sz w:val="21"/>
          <w:szCs w:val="21"/>
        </w:rPr>
        <w:t>股权的股东，根据《中华人民共和国公司法》第一百八十条、第一百八十三条、《最高人民法院关于适用〈中华人民共和国公司法〉若干问题的规定（二）》第七条等规定，2022年10月申请由人民法院指定清算组对特发华日进行强制清算。</w:t>
      </w:r>
    </w:p>
    <w:p>
      <w:pPr>
        <w:pStyle w:val="8"/>
        <w:keepNext w:val="0"/>
        <w:keepLines w:val="0"/>
        <w:widowControl/>
        <w:suppressLineNumbers w:val="0"/>
        <w:spacing w:before="0" w:beforeAutospacing="0" w:after="0" w:afterAutospacing="0" w:line="400" w:lineRule="atLeast"/>
        <w:ind w:left="0" w:right="0" w:firstLine="420"/>
        <w:jc w:val="both"/>
        <w:rPr>
          <w:rFonts w:hint="default" w:ascii="宋体" w:hAnsi="宋体" w:eastAsia="宋体" w:cs="宋体"/>
          <w:sz w:val="21"/>
          <w:szCs w:val="21"/>
        </w:rPr>
      </w:pPr>
      <w:r>
        <w:rPr>
          <w:rFonts w:hint="default" w:ascii="宋体" w:hAnsi="宋体" w:eastAsia="宋体" w:cs="宋体"/>
          <w:sz w:val="21"/>
          <w:szCs w:val="21"/>
        </w:rPr>
        <w:t>2022年12月21日广东省深圳前海合作区人民法院出具2023粤0391清申9号民事裁定书，决定受理本公司对特发华日的清算申请。</w:t>
      </w:r>
    </w:p>
    <w:p>
      <w:pPr>
        <w:pStyle w:val="8"/>
        <w:keepNext w:val="0"/>
        <w:keepLines w:val="0"/>
        <w:widowControl/>
        <w:suppressLineNumbers w:val="0"/>
        <w:spacing w:before="0" w:beforeAutospacing="0" w:after="0" w:afterAutospacing="0" w:line="400" w:lineRule="atLeast"/>
        <w:ind w:left="0" w:right="0" w:firstLine="420"/>
        <w:jc w:val="both"/>
        <w:rPr>
          <w:rFonts w:hint="default" w:ascii="宋体" w:hAnsi="宋体" w:eastAsia="宋体" w:cs="宋体"/>
          <w:sz w:val="21"/>
          <w:szCs w:val="21"/>
        </w:rPr>
      </w:pPr>
      <w:r>
        <w:rPr>
          <w:rFonts w:hint="default" w:ascii="宋体" w:hAnsi="宋体" w:eastAsia="宋体" w:cs="宋体"/>
          <w:sz w:val="21"/>
          <w:szCs w:val="21"/>
        </w:rPr>
        <w:t>2023年3月21日本公司收到深圳前海合作区人民法院送达的《指定清算组决定书》（[2023]粤0391强清4号），法院指定北京市金杜（深圳）律师事务所为特发华日清算组。清算组向法院报告工作，接受法院、公司债权人和股东的监督，在清算期间按照法定程序行使</w:t>
      </w:r>
      <w:r>
        <w:rPr>
          <w:rFonts w:hint="eastAsia" w:ascii="宋体" w:hAnsi="宋体" w:eastAsia="宋体" w:cs="宋体"/>
          <w:kern w:val="0"/>
          <w:sz w:val="21"/>
          <w:szCs w:val="21"/>
        </w:rPr>
        <w:t>接管特发华日财产、印章和账簿以及决定特发华日内部管理事务、日常开支和其他必要开支等</w:t>
      </w:r>
      <w:r>
        <w:rPr>
          <w:rFonts w:hint="default" w:ascii="宋体" w:hAnsi="宋体" w:eastAsia="宋体" w:cs="宋体"/>
          <w:sz w:val="21"/>
          <w:szCs w:val="21"/>
        </w:rPr>
        <w:t>各项职权。</w:t>
      </w:r>
    </w:p>
    <w:p>
      <w:pPr>
        <w:pStyle w:val="8"/>
        <w:keepNext w:val="0"/>
        <w:keepLines w:val="0"/>
        <w:widowControl/>
        <w:suppressLineNumbers w:val="0"/>
        <w:spacing w:before="0" w:beforeAutospacing="0" w:after="0" w:afterAutospacing="0" w:line="400" w:lineRule="atLeast"/>
        <w:ind w:left="0" w:right="0" w:firstLine="420"/>
        <w:jc w:val="both"/>
        <w:rPr>
          <w:rFonts w:hint="default" w:ascii="宋体" w:hAnsi="宋体" w:eastAsia="宋体" w:cs="宋体"/>
          <w:sz w:val="21"/>
          <w:szCs w:val="21"/>
        </w:rPr>
      </w:pPr>
      <w:r>
        <w:rPr>
          <w:rFonts w:hint="default" w:ascii="宋体" w:hAnsi="宋体" w:eastAsia="宋体" w:cs="宋体"/>
          <w:sz w:val="21"/>
          <w:szCs w:val="21"/>
        </w:rPr>
        <w:t>根据公司法相关规定，法院指定的清算组在清算期间内负责对公司财产进行保管、清理及处置，清偿债务以及处理未了结业务，直至公司最终注销。在此期间，</w:t>
      </w:r>
      <w:r>
        <w:rPr>
          <w:rFonts w:hint="eastAsia" w:ascii="宋体" w:hAnsi="宋体" w:cs="宋体"/>
          <w:sz w:val="21"/>
          <w:szCs w:val="21"/>
          <w:lang w:val="en-US" w:eastAsia="zh-CN"/>
        </w:rPr>
        <w:t>公司</w:t>
      </w:r>
      <w:r>
        <w:rPr>
          <w:rFonts w:hint="default" w:ascii="宋体" w:hAnsi="宋体" w:eastAsia="宋体" w:cs="宋体"/>
          <w:sz w:val="21"/>
          <w:szCs w:val="21"/>
        </w:rPr>
        <w:t>作为股东无法再对特发华日的经营决策进行控制，且不能单方面申请法院撤销对特发华日的清算。由此，在法院指定清算组后，</w:t>
      </w:r>
      <w:r>
        <w:rPr>
          <w:rFonts w:hint="eastAsia" w:ascii="宋体" w:hAnsi="宋体" w:cs="宋体"/>
          <w:sz w:val="21"/>
          <w:szCs w:val="21"/>
          <w:lang w:val="en-US" w:eastAsia="zh-CN"/>
        </w:rPr>
        <w:t>公司</w:t>
      </w:r>
      <w:r>
        <w:rPr>
          <w:rFonts w:hint="default" w:ascii="宋体" w:hAnsi="宋体" w:eastAsia="宋体" w:cs="宋体"/>
          <w:sz w:val="21"/>
          <w:szCs w:val="21"/>
        </w:rPr>
        <w:t>丧失对特发华日的控制权，且无重大影响，不应再将特发华日纳入合并范围。</w:t>
      </w:r>
    </w:p>
    <w:p>
      <w:pPr>
        <w:keepNext/>
        <w:keepLines/>
        <w:spacing w:before="300" w:after="300" w:line="280" w:lineRule="exact"/>
        <w:jc w:val="left"/>
        <w:outlineLvl w:val="3"/>
        <w:rPr>
          <w:rFonts w:ascii="宋体" w:hAnsi="宋体" w:eastAsia="宋体" w:cs="宋体"/>
          <w:b/>
          <w:bCs/>
          <w:sz w:val="18"/>
          <w:szCs w:val="18"/>
        </w:rPr>
      </w:pPr>
      <w:bookmarkStart w:id="26" w:name="_Toc988915"/>
      <w:r>
        <w:rPr>
          <w:rFonts w:ascii="宋体" w:hAnsi="宋体" w:eastAsia="宋体" w:cs="宋体"/>
          <w:b/>
          <w:bCs/>
          <w:sz w:val="18"/>
          <w:szCs w:val="18"/>
        </w:rPr>
        <w:t>（7） 公司报告期内业务、产品或服务发生重大变化或调整有关情况</w:t>
      </w:r>
      <w:bookmarkEnd w:id="2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7" w:name="_Toc988916"/>
      <w:r>
        <w:rPr>
          <w:rFonts w:ascii="宋体" w:hAnsi="宋体" w:eastAsia="宋体" w:cs="宋体"/>
          <w:b/>
          <w:bCs/>
          <w:sz w:val="18"/>
          <w:szCs w:val="18"/>
        </w:rPr>
        <w:t>（8） 主要销售客户和主要供应商情况</w:t>
      </w:r>
      <w:bookmarkEnd w:id="2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公司主要销售客户情况</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前五名客户合计销售金额（元）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979,817,424.60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前五名客户合计销售金额占年度销售总额比例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lang w:val="en-US" w:eastAsia="zh-CN"/>
              </w:rPr>
              <w:t>53.06</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前五名客户销售额中关联方销售额占年度销售总额比例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r>
              <w:rPr>
                <w:rFonts w:hint="eastAsia" w:ascii="宋体" w:hAnsi="宋体" w:cs="宋体"/>
                <w:sz w:val="18"/>
                <w:szCs w:val="18"/>
                <w:lang w:val="en-US" w:eastAsia="zh-CN"/>
              </w:rPr>
              <w:t>70</w:t>
            </w: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公司前5大客户资料</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序号</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客户名称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销售额（元）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占年度销售总额比例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474,217,141.00</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25.68%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160,694,752.22</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122,782,927.42</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116,873,152.53</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105,249,451.43</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979,817,424.60</w:t>
            </w:r>
          </w:p>
        </w:tc>
        <w:tc>
          <w:tcPr>
            <w:tcW w:w="241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53.06%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主要客户其他情况说明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公司主要供应商情况</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前五名供应商合计采购金额（元）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1,440,695,874.42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前五名供应商合计采购金额占年度采购总额比例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81.70%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前五名供应商采购额中关联方采购额占年度采购总额比例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公司前5名供应商资料</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序号</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供应商名称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采购额（元）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占年度采购总额比例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供应商一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1,007,734,822.92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供应商二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248,756,140.00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供应商三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96,871,592.92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供应商四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47,105,000.00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供应商五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40,228,318.58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1,440,695,874.42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81.70%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主要供应商其他情况说明</w:t>
      </w:r>
    </w:p>
    <w:p>
      <w:pPr>
        <w:spacing w:before="100" w:after="100" w:line="240" w:lineRule="exact"/>
        <w:jc w:val="left"/>
        <w:rPr>
          <w:rFonts w:ascii="宋体" w:hAnsi="宋体" w:eastAsia="宋体" w:cs="宋体"/>
          <w:sz w:val="18"/>
          <w:szCs w:val="18"/>
        </w:rPr>
      </w:pPr>
      <w:r>
        <w:rPr>
          <w:rFonts w:hint="eastAsia" w:ascii="宋体" w:hAnsi="宋体" w:cs="宋体"/>
          <w:sz w:val="18"/>
          <w:szCs w:val="18"/>
          <w:lang w:eastAsia="zh-CN"/>
        </w:rPr>
        <w:t>☑</w:t>
      </w:r>
      <w:r>
        <w:rPr>
          <w:rFonts w:ascii="宋体" w:hAnsi="宋体" w:eastAsia="宋体" w:cs="宋体"/>
          <w:sz w:val="18"/>
          <w:szCs w:val="18"/>
        </w:rPr>
        <w:t xml:space="preserve">适用 </w:t>
      </w:r>
      <w:r>
        <w:rPr>
          <w:rFonts w:ascii="宋体" w:hAnsi="宋体" w:eastAsia="宋体" w:cs="宋体"/>
          <w:sz w:val="18"/>
          <w:szCs w:val="18"/>
        </w:rPr>
        <w:sym w:font="Wingdings 2" w:char="00A3"/>
      </w:r>
      <w:r>
        <w:rPr>
          <w:rFonts w:ascii="宋体" w:hAnsi="宋体" w:eastAsia="宋体" w:cs="宋体"/>
          <w:sz w:val="18"/>
          <w:szCs w:val="18"/>
        </w:rPr>
        <w:t>不适用</w:t>
      </w:r>
    </w:p>
    <w:p>
      <w:pPr>
        <w:spacing w:before="100" w:after="100"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报告期内占公司年度采购总额比例超50%的供应商是上海黄金交易所</w:t>
      </w:r>
      <w:r>
        <w:rPr>
          <w:rFonts w:hint="eastAsia" w:ascii="宋体" w:hAnsi="宋体" w:cs="宋体"/>
          <w:sz w:val="18"/>
          <w:szCs w:val="18"/>
          <w:lang w:eastAsia="zh-CN"/>
        </w:rPr>
        <w:t>。</w:t>
      </w:r>
    </w:p>
    <w:p>
      <w:pPr>
        <w:keepNext/>
        <w:keepLines/>
        <w:spacing w:before="300" w:after="300" w:line="280" w:lineRule="exact"/>
        <w:jc w:val="left"/>
        <w:outlineLvl w:val="2"/>
        <w:rPr>
          <w:rFonts w:ascii="宋体" w:hAnsi="宋体" w:eastAsia="宋体" w:cs="宋体"/>
          <w:b/>
          <w:bCs/>
          <w:sz w:val="21"/>
          <w:szCs w:val="21"/>
        </w:rPr>
      </w:pPr>
      <w:bookmarkStart w:id="28" w:name="_Toc988917"/>
      <w:r>
        <w:rPr>
          <w:rFonts w:ascii="宋体" w:hAnsi="宋体" w:eastAsia="宋体" w:cs="宋体"/>
          <w:b/>
          <w:bCs/>
          <w:sz w:val="21"/>
          <w:szCs w:val="21"/>
        </w:rPr>
        <w:t>3、费用</w:t>
      </w:r>
      <w:bookmarkEnd w:id="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22"/>
        <w:gridCol w:w="1581"/>
        <w:gridCol w:w="1755"/>
        <w:gridCol w:w="1500"/>
        <w:gridCol w:w="34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58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175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5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c>
          <w:tcPr>
            <w:tcW w:w="34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销售费用</w:t>
            </w:r>
          </w:p>
        </w:tc>
        <w:tc>
          <w:tcPr>
            <w:tcW w:w="15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19,128,514.75</w:t>
            </w:r>
          </w:p>
        </w:tc>
        <w:tc>
          <w:tcPr>
            <w:tcW w:w="17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22,034,712.48</w:t>
            </w:r>
          </w:p>
        </w:tc>
        <w:tc>
          <w:tcPr>
            <w:tcW w:w="150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-13.19%</w:t>
            </w:r>
          </w:p>
        </w:tc>
        <w:tc>
          <w:tcPr>
            <w:tcW w:w="3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管理费用</w:t>
            </w:r>
          </w:p>
        </w:tc>
        <w:tc>
          <w:tcPr>
            <w:tcW w:w="15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85,621,795.09</w:t>
            </w:r>
          </w:p>
        </w:tc>
        <w:tc>
          <w:tcPr>
            <w:tcW w:w="17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47,077,679.99</w:t>
            </w:r>
          </w:p>
        </w:tc>
        <w:tc>
          <w:tcPr>
            <w:tcW w:w="150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81.87%</w:t>
            </w:r>
          </w:p>
        </w:tc>
        <w:tc>
          <w:tcPr>
            <w:tcW w:w="3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主要一是汽车业务关闭增加补偿金；二是金钻大厦</w:t>
            </w:r>
            <w:r>
              <w:rPr>
                <w:rFonts w:hint="eastAsia" w:ascii="宋体" w:hAnsi="宋体" w:cs="宋体"/>
                <w:sz w:val="18"/>
                <w:szCs w:val="18"/>
                <w:lang w:val="en-US" w:eastAsia="zh-CN"/>
              </w:rPr>
              <w:t>税务</w:t>
            </w:r>
            <w:r>
              <w:rPr>
                <w:rFonts w:hint="eastAsia" w:ascii="宋体" w:hAnsi="宋体" w:eastAsia="宋体" w:cs="宋体"/>
                <w:sz w:val="18"/>
                <w:szCs w:val="18"/>
              </w:rPr>
              <w:t>咨询费、专项审计评估等咨询服务费同比增加</w:t>
            </w:r>
            <w:r>
              <w:rPr>
                <w:rFonts w:hint="eastAsia" w:ascii="宋体" w:hAnsi="宋体" w:cs="宋体"/>
                <w:sz w:val="18"/>
                <w:szCs w:val="18"/>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15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5,537,879.92</w:t>
            </w:r>
          </w:p>
        </w:tc>
        <w:tc>
          <w:tcPr>
            <w:tcW w:w="17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-4,036,653.35</w:t>
            </w:r>
          </w:p>
        </w:tc>
        <w:tc>
          <w:tcPr>
            <w:tcW w:w="150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237.19%</w:t>
            </w:r>
          </w:p>
        </w:tc>
        <w:tc>
          <w:tcPr>
            <w:tcW w:w="3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主要一是</w:t>
            </w:r>
            <w:r>
              <w:rPr>
                <w:rFonts w:hint="eastAsia" w:ascii="宋体" w:hAnsi="宋体" w:eastAsia="宋体" w:cs="宋体"/>
                <w:sz w:val="18"/>
                <w:szCs w:val="18"/>
              </w:rPr>
              <w:t>黄金业务融资增加利息支出</w:t>
            </w:r>
            <w:r>
              <w:rPr>
                <w:rFonts w:hint="eastAsia" w:ascii="宋体" w:hAnsi="宋体" w:cs="宋体"/>
                <w:sz w:val="18"/>
                <w:szCs w:val="18"/>
                <w:lang w:eastAsia="zh-CN"/>
              </w:rPr>
              <w:t>；</w:t>
            </w:r>
            <w:r>
              <w:rPr>
                <w:rFonts w:hint="eastAsia" w:ascii="宋体" w:hAnsi="宋体" w:cs="宋体"/>
                <w:sz w:val="18"/>
                <w:szCs w:val="18"/>
                <w:lang w:val="en-US" w:eastAsia="zh-CN"/>
              </w:rPr>
              <w:t>二是金钻大厦转固后贷款利息转财务费用。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研发费用</w:t>
            </w:r>
          </w:p>
        </w:tc>
        <w:tc>
          <w:tcPr>
            <w:tcW w:w="15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1,965,795.78</w:t>
            </w:r>
          </w:p>
        </w:tc>
        <w:tc>
          <w:tcPr>
            <w:tcW w:w="17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802,753.80</w:t>
            </w:r>
          </w:p>
        </w:tc>
        <w:tc>
          <w:tcPr>
            <w:tcW w:w="1500"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144.88%</w:t>
            </w:r>
          </w:p>
        </w:tc>
        <w:tc>
          <w:tcPr>
            <w:tcW w:w="3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主要是研发项目增加</w:t>
            </w:r>
          </w:p>
        </w:tc>
      </w:tr>
    </w:tbl>
    <w:p>
      <w:pPr>
        <w:keepNext/>
        <w:keepLines/>
        <w:spacing w:before="300" w:after="300" w:line="280" w:lineRule="exact"/>
        <w:jc w:val="left"/>
        <w:outlineLvl w:val="2"/>
        <w:rPr>
          <w:rFonts w:ascii="宋体" w:hAnsi="宋体" w:eastAsia="宋体" w:cs="宋体"/>
          <w:b/>
          <w:bCs/>
          <w:sz w:val="21"/>
          <w:szCs w:val="21"/>
        </w:rPr>
      </w:pPr>
      <w:bookmarkStart w:id="29" w:name="_Toc988918"/>
      <w:r>
        <w:rPr>
          <w:rFonts w:ascii="宋体" w:hAnsi="宋体" w:eastAsia="宋体" w:cs="宋体"/>
          <w:b/>
          <w:bCs/>
          <w:sz w:val="21"/>
          <w:szCs w:val="21"/>
        </w:rPr>
        <w:t>4、研发投入</w:t>
      </w:r>
      <w:bookmarkEnd w:id="2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8"/>
        <w:gridCol w:w="224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主要研发项目名称</w:t>
            </w:r>
          </w:p>
        </w:tc>
        <w:tc>
          <w:tcPr>
            <w:tcW w:w="22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项目目的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项目进展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拟达到的目标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预计对公司未来发展的影响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基于HEART分析模型的数据模型指标系统</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构建基于HEART分析模型的数据管理系统，以实时获取和处理报关、合同和货品信息。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已于2023年4月底完成项目开发，持续运行中。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提升系统可配置性与拓展性，提高系统智能化能力。</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为珠宝行业提供优质数字化产品和数据服务。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基于SaaS模式云交易进出境管理系统</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拟研发一套基于SaaS模式的云交易进出境管理系统，提高珠宝行业的进出境管理水平。</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已于2023年8月底完成项目开发，正在试运行阶段。</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实现珠宝企业的进出境数据实时更新和共享，提高数据安全性。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为平台开拓境外业务提供系统支持，提升竞争力。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离线处理业务数据方法的研发</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通过离线缓存、数据预处理、分布式处理、容错处理等核心技术，提供更准确、及时的数据支持。</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已于2023年7月底完成项目开发，持续运行中。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可针对需要进行离线采集的数据进行大量处理，减少人工进行数据迁移的成本。</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使公司具备应对业务量特殊时点突发增长带来的大规模数据处理压力的能力。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实时数据计算平台的研发</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构建一个高效、可靠、易扩展的实时数据处理平台，为企业提供毫秒级的数据分析和决策支持。</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已于2023年10月底完成项目开发，持续运行中。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能够针对需要实时处理的流数据进行分析处理，实时掌控市场变化。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实现在复杂业务或场景下，提升业务数据处理和分析效率。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一站式会员综合智能管理系统的研发</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研发会员管理系统，加强会员管理能力，实现入会规范化，会员数据统一管控。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已于2023年12月底完成项目开发，正在试运行阶段。</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会员一站式管理，有效提升业务员的工作效率。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更好地服务平台会员，提高会员粘性，帮助业务更便捷地开展平台业务。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珠宝看货会线上协同管理系统的研发</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研发一套系统化的看货会平台，提升看货展会活动工作效率与管理。</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已于2024年1月底完成项目开发，正在试运行阶段。</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实时数据采集与处理，提升工作效率</w:t>
            </w:r>
            <w:r>
              <w:rPr>
                <w:rFonts w:hint="eastAsia" w:ascii="宋体" w:hAnsi="宋体" w:cs="宋体"/>
                <w:sz w:val="18"/>
                <w:szCs w:val="18"/>
                <w:lang w:eastAsia="zh-CN"/>
              </w:rPr>
              <w:t>；</w:t>
            </w:r>
            <w:r>
              <w:rPr>
                <w:rFonts w:ascii="宋体" w:hAnsi="宋体" w:eastAsia="宋体" w:cs="宋体"/>
                <w:sz w:val="18"/>
                <w:szCs w:val="18"/>
              </w:rPr>
              <w:t>采用高级安全技术，确保系统和数据的安全。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提升平台看货会组织效率，降低人工成本。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珠宝产业信息化监管系统</w:t>
            </w:r>
          </w:p>
        </w:tc>
        <w:tc>
          <w:tcPr>
            <w:tcW w:w="22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研发珠宝产业信息化监管系统，加强业务数据监管。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持续开发中。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实现对保税货品的监管要求，提升对企业的信任度。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进一步完善数据采集、展示与分析、数据溯源检查等功能。</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公司研发人员情况</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研发人员数量（人）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研发人员数量占比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研发人员学历结构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硕士</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大专</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eastAsia="zh-CN"/>
              </w:rPr>
            </w:pPr>
            <w:r>
              <w:rPr>
                <w:rFonts w:hint="eastAsia" w:ascii="宋体" w:hAnsi="宋体" w:cs="宋体"/>
                <w:sz w:val="18"/>
                <w:szCs w:val="18"/>
                <w:lang w:val="en-US" w:eastAsia="zh-CN"/>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研发人员年龄构成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30岁以下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30~40岁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40岁以上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公司研发投入情况</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研发投入金额（元）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1,965,795.78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802,753.80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研发投入占营业收入比例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研发投入资本化的金额（元）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资本化研发投入占研发投入的比例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公司研发人员构成发生重大变化的原因及影响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研发投入总额占营业收入的比重较上年发生显著变化的原因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研发投入资本化率大幅变动的原因及其合理性说明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0" w:name="_Toc988919"/>
      <w:r>
        <w:rPr>
          <w:rFonts w:ascii="宋体" w:hAnsi="宋体" w:eastAsia="宋体" w:cs="宋体"/>
          <w:b/>
          <w:bCs/>
          <w:sz w:val="21"/>
          <w:szCs w:val="21"/>
        </w:rPr>
        <w:t>5、现金流</w:t>
      </w:r>
      <w:bookmarkEnd w:id="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49"/>
        <w:gridCol w:w="2364"/>
        <w:gridCol w:w="2600"/>
        <w:gridCol w:w="20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3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w:t>
            </w:r>
          </w:p>
        </w:tc>
        <w:tc>
          <w:tcPr>
            <w:tcW w:w="26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0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2,019,506,191.37</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1,004,298,180.83</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2,079,646,197.83</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1,056,265,945.12</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-60,140,006.46</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-51,967,764.29</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677,411,633.15</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1,388,465,680.40</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810,619,126.84</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1,338,619,900.38</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-133,207,493.69</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49,845,780.02</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359,922,892.83</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206,424,339.14</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397,758,935.44</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23,708,532.63</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-37,836,042.61</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182,715,806.51</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现金及现金等价物净增加额</w:t>
            </w:r>
          </w:p>
        </w:tc>
        <w:tc>
          <w:tcPr>
            <w:tcW w:w="2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-231,183,441.67</w:t>
            </w:r>
          </w:p>
        </w:tc>
        <w:tc>
          <w:tcPr>
            <w:tcW w:w="2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179,751,243.50</w:t>
            </w:r>
          </w:p>
        </w:tc>
        <w:tc>
          <w:tcPr>
            <w:tcW w:w="20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-228.61%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相关数据同比发生重大变动的主要影响因素说明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7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23"/>
        <w:gridCol w:w="1631"/>
        <w:gridCol w:w="1691"/>
        <w:gridCol w:w="1182"/>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同比增减</w:t>
            </w:r>
          </w:p>
        </w:tc>
        <w:tc>
          <w:tcPr>
            <w:tcW w:w="280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经营活动现金流入小计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2,019,506,191.37</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1,004,298,180.83</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101.09%</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本报告期黄金珠宝业务量增加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经营活动现金流出小计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2,079,646,197.83</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1,056,265,945.12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96.89%</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本报告期黄金珠宝业务量增加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经营活动产生的现金流量净额</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-60,140,006.46</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-51,967,764.29</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-15.73%</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本年黄金赊销业务和备货业务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投资活动现金流入小计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677,411,633.15</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1,388,465,680.40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-51.21%</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本年赎回理财同比减少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投资活动现金流出小计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810,619,126.84</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1,338,619,900.38</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-39.44%</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本年购买理财同比减少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投资活动产生的现金流量净额</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-133,207,493.69</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49,845,780.02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-367.24%</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主要是理财产品到期赎回同比</w:t>
            </w:r>
            <w:r>
              <w:rPr>
                <w:rFonts w:hint="eastAsia" w:ascii="宋体" w:hAnsi="宋体" w:cs="宋体"/>
                <w:i w:val="0"/>
                <w:iCs w:val="0"/>
                <w:color w:val="000000"/>
                <w:kern w:val="0"/>
                <w:sz w:val="18"/>
                <w:szCs w:val="18"/>
                <w:u w:val="none"/>
                <w:lang w:val="en-US" w:eastAsia="zh-CN" w:bidi="ar"/>
              </w:rPr>
              <w:t>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筹资活动现金流入小计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359,922,892.83</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206,424,339.14</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74.36%</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本报告期黄金珠宝业务贷款增加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筹资活动现金流出小计</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397,758,935.44</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23,708,532.63</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1,577.70%</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本报告期归还长期借款和黄金珠宝业务贷款归还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筹资活动产生的现金流量净额</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-37,836,042.61</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182,715,806.51</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-120.71%</w:t>
            </w:r>
          </w:p>
        </w:tc>
        <w:tc>
          <w:tcPr>
            <w:tcW w:w="2805"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本报告期归还长期借款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9"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现金及现金等价物净增加额</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-231,183,441.67</w:t>
            </w:r>
          </w:p>
        </w:tc>
        <w:tc>
          <w:tcPr>
            <w:tcW w:w="16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179,751,243.50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-228.61%</w:t>
            </w:r>
          </w:p>
        </w:tc>
        <w:tc>
          <w:tcPr>
            <w:tcW w:w="280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主要一是黄金赊销业务和备货业务；二是本报告期归还长期借款</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报告期内公司经营活动产生的现金净流量与本年度净利润存在重大差异的原因说明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1" w:name="_Toc988920"/>
      <w:r>
        <w:rPr>
          <w:rFonts w:ascii="宋体" w:hAnsi="宋体" w:eastAsia="宋体" w:cs="宋体"/>
          <w:b/>
          <w:bCs/>
          <w:sz w:val="24"/>
          <w:szCs w:val="24"/>
        </w:rPr>
        <w:t>五、非主营业务分析</w:t>
      </w:r>
      <w:bookmarkEnd w:id="31"/>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62"/>
        <w:gridCol w:w="1602"/>
        <w:gridCol w:w="1534"/>
        <w:gridCol w:w="2941"/>
        <w:gridCol w:w="18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5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占利润总额比例</w:t>
            </w:r>
          </w:p>
        </w:tc>
        <w:tc>
          <w:tcPr>
            <w:tcW w:w="29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形成原因说明</w:t>
            </w:r>
          </w:p>
        </w:tc>
        <w:tc>
          <w:tcPr>
            <w:tcW w:w="18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是否具有可持续性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投资收益</w:t>
            </w:r>
          </w:p>
        </w:tc>
        <w:tc>
          <w:tcPr>
            <w:tcW w:w="1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93,873,513.18</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61.15%</w:t>
            </w:r>
          </w:p>
        </w:tc>
        <w:tc>
          <w:tcPr>
            <w:tcW w:w="2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理财收益、确认参股企业权益法投资收益、丧失子公司控制权后，剩余股权按公允价值重新计量产生的利得</w:t>
            </w:r>
          </w:p>
        </w:tc>
        <w:tc>
          <w:tcPr>
            <w:tcW w:w="18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公允价值变动损益</w:t>
            </w:r>
          </w:p>
        </w:tc>
        <w:tc>
          <w:tcPr>
            <w:tcW w:w="1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-12,008,283.18</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-7.82%</w:t>
            </w:r>
          </w:p>
        </w:tc>
        <w:tc>
          <w:tcPr>
            <w:tcW w:w="2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未到期理财产品公允价值变动、丧失子公司控制权后，剩余股权年底重新评估公允价值变动损失</w:t>
            </w:r>
          </w:p>
        </w:tc>
        <w:tc>
          <w:tcPr>
            <w:tcW w:w="18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资产减值</w:t>
            </w:r>
          </w:p>
        </w:tc>
        <w:tc>
          <w:tcPr>
            <w:tcW w:w="1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-1,046,935.57</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-0.68%</w:t>
            </w:r>
          </w:p>
        </w:tc>
        <w:tc>
          <w:tcPr>
            <w:tcW w:w="2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库存和固定资产等计提的减值损失</w:t>
            </w:r>
          </w:p>
        </w:tc>
        <w:tc>
          <w:tcPr>
            <w:tcW w:w="18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6"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营业外收入</w:t>
            </w:r>
          </w:p>
        </w:tc>
        <w:tc>
          <w:tcPr>
            <w:tcW w:w="1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2,390,834.30</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w:t>
            </w:r>
          </w:p>
        </w:tc>
        <w:tc>
          <w:tcPr>
            <w:tcW w:w="2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商户提前退租没收保证金等</w:t>
            </w:r>
          </w:p>
        </w:tc>
        <w:tc>
          <w:tcPr>
            <w:tcW w:w="18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营业外支出</w:t>
            </w:r>
          </w:p>
        </w:tc>
        <w:tc>
          <w:tcPr>
            <w:tcW w:w="1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319,297.02</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0.21%</w:t>
            </w:r>
          </w:p>
        </w:tc>
        <w:tc>
          <w:tcPr>
            <w:tcW w:w="2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改造和质量提升工作提前清退租户支付的违约金</w:t>
            </w:r>
          </w:p>
        </w:tc>
        <w:tc>
          <w:tcPr>
            <w:tcW w:w="18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bl>
    <w:p>
      <w:pPr>
        <w:keepNext/>
        <w:keepLines/>
        <w:spacing w:before="300" w:after="300" w:line="320" w:lineRule="exact"/>
        <w:jc w:val="left"/>
        <w:outlineLvl w:val="1"/>
        <w:rPr>
          <w:rFonts w:ascii="宋体" w:hAnsi="宋体" w:eastAsia="宋体" w:cs="宋体"/>
          <w:b/>
          <w:bCs/>
          <w:sz w:val="24"/>
          <w:szCs w:val="24"/>
        </w:rPr>
      </w:pPr>
      <w:bookmarkStart w:id="32" w:name="_Toc988921"/>
      <w:r>
        <w:rPr>
          <w:rFonts w:ascii="宋体" w:hAnsi="宋体" w:eastAsia="宋体" w:cs="宋体"/>
          <w:b/>
          <w:bCs/>
          <w:sz w:val="24"/>
          <w:szCs w:val="24"/>
        </w:rPr>
        <w:t>六、资产及负债状况分析</w:t>
      </w:r>
      <w:bookmarkEnd w:id="32"/>
    </w:p>
    <w:p>
      <w:pPr>
        <w:keepNext/>
        <w:keepLines/>
        <w:spacing w:before="300" w:after="300" w:line="280" w:lineRule="exact"/>
        <w:jc w:val="left"/>
        <w:outlineLvl w:val="2"/>
        <w:rPr>
          <w:rFonts w:ascii="宋体" w:hAnsi="宋体" w:eastAsia="宋体" w:cs="宋体"/>
          <w:b/>
          <w:bCs/>
          <w:sz w:val="21"/>
          <w:szCs w:val="21"/>
        </w:rPr>
      </w:pPr>
      <w:bookmarkStart w:id="33" w:name="_Toc988922"/>
      <w:r>
        <w:rPr>
          <w:rFonts w:ascii="宋体" w:hAnsi="宋体" w:eastAsia="宋体" w:cs="宋体"/>
          <w:b/>
          <w:bCs/>
          <w:sz w:val="21"/>
          <w:szCs w:val="21"/>
        </w:rPr>
        <w:t>1、资产构成重大变动情况</w:t>
      </w:r>
      <w:bookmarkEnd w:id="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730"/>
        <w:gridCol w:w="1414"/>
        <w:gridCol w:w="1500"/>
        <w:gridCol w:w="1397"/>
        <w:gridCol w:w="1005"/>
        <w:gridCol w:w="1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14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2023年末</w:t>
            </w:r>
          </w:p>
        </w:tc>
        <w:tc>
          <w:tcPr>
            <w:tcW w:w="289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2023年初</w:t>
            </w:r>
          </w:p>
        </w:tc>
        <w:tc>
          <w:tcPr>
            <w:tcW w:w="10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比重增减</w:t>
            </w:r>
          </w:p>
        </w:tc>
        <w:tc>
          <w:tcPr>
            <w:tcW w:w="121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41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5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0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1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220,340,961.64</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413,028,327.36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18.50%</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-9.33%</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99,635,751.52</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41,752,179.56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178,425,833.88</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7.42%</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116,069,675.39</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5.20%</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投资性房地产</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1,008,137,341.80</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41.94%</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516,360,139.45</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23.13%</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18.81%</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长期股权投资</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76,511,487.57</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81,024,365.94</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3.63%</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-0.45%</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78,935,843.49</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102,689,546.42</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0.30%</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18.37%</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-18.07%</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使用权资产</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71,904,716.50</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4,181,242.86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2.80%</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短期借款</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145,131,694.44</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6.04%</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0.90%</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合同负债</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7,079,975.38</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0.29%</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9,259,658.43</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0.41%</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-0.12%</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长期借款</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6.49%</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-6.49%</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租赁负债</w:t>
            </w:r>
          </w:p>
        </w:tc>
        <w:tc>
          <w:tcPr>
            <w:tcW w:w="1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69,524,214.23</w:t>
            </w: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2.89%</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2,926,184.93</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0.13%</w:t>
            </w:r>
          </w:p>
        </w:tc>
        <w:tc>
          <w:tcPr>
            <w:tcW w:w="10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w:t>
            </w:r>
          </w:p>
        </w:tc>
        <w:tc>
          <w:tcPr>
            <w:tcW w:w="1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境外资产占比较高</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4" w:name="_Toc988923"/>
      <w:r>
        <w:rPr>
          <w:rFonts w:ascii="宋体" w:hAnsi="宋体" w:eastAsia="宋体" w:cs="宋体"/>
          <w:b/>
          <w:bCs/>
          <w:sz w:val="21"/>
          <w:szCs w:val="21"/>
        </w:rPr>
        <w:t>2、以公允价值计量的资产和负债</w:t>
      </w:r>
      <w:bookmarkEnd w:id="34"/>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10903" w:type="dxa"/>
        <w:tblInd w:w="-69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1"/>
        <w:gridCol w:w="1277"/>
        <w:gridCol w:w="1329"/>
        <w:gridCol w:w="1237"/>
        <w:gridCol w:w="546"/>
        <w:gridCol w:w="1431"/>
        <w:gridCol w:w="1432"/>
        <w:gridCol w:w="1234"/>
        <w:gridCol w:w="12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2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期初数</w:t>
            </w:r>
          </w:p>
        </w:tc>
        <w:tc>
          <w:tcPr>
            <w:tcW w:w="13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本期公允价值变动损益</w:t>
            </w:r>
          </w:p>
        </w:tc>
        <w:tc>
          <w:tcPr>
            <w:tcW w:w="1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计入权益的累计公允价值变动</w:t>
            </w:r>
          </w:p>
        </w:tc>
        <w:tc>
          <w:tcPr>
            <w:tcW w:w="54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本期计提的减值</w:t>
            </w:r>
          </w:p>
        </w:tc>
        <w:tc>
          <w:tcPr>
            <w:tcW w:w="14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本期购买金额</w:t>
            </w:r>
          </w:p>
        </w:tc>
        <w:tc>
          <w:tcPr>
            <w:tcW w:w="14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本期出售金额</w:t>
            </w:r>
          </w:p>
        </w:tc>
        <w:tc>
          <w:tcPr>
            <w:tcW w:w="12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其他变动</w:t>
            </w:r>
          </w:p>
        </w:tc>
        <w:tc>
          <w:tcPr>
            <w:tcW w:w="12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903"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金融资产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1.交易性金融资产（不含衍生金融资产）</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176,133,569.95</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-16,611,392.45</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550,000,000.00</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590,000,000.00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86,772,754.44</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206,294,931.94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2.衍生金融资产</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298,320.00</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298,320.00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3.其他债权投资</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589,566.66</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67,038,381.94</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67,627,948.60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4.其他权益工具投资</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10,176,617.20</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-9,793,299.53</w:t>
            </w: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383,317.67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金融资产小计</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186,310,187.15</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-15,723,505.79</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-9,793,299.53</w:t>
            </w: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617,038,381.94</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590,000,000.00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86,772,754.44</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274,604,518.21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被套期项目</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79,191,876.11</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-101,030.68</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0.00</w:t>
            </w: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1,452,078,640.07</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1,445,367,090.43</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0.00</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85,802,395.07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上述合计</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265,502,063.26</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-15,824,536.47</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-9,793,299.53</w:t>
            </w: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0.00</w:t>
            </w: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2,069,117,022.01</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2,035,367,090.43</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86,772,754.44</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360,406,913.28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1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金融负债</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19,062,044.91</w:t>
            </w:r>
          </w:p>
        </w:tc>
        <w:tc>
          <w:tcPr>
            <w:tcW w:w="13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2,216,990.00</w:t>
            </w:r>
          </w:p>
        </w:tc>
        <w:tc>
          <w:tcPr>
            <w:tcW w:w="12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5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p>
        </w:tc>
        <w:tc>
          <w:tcPr>
            <w:tcW w:w="1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53,588,960.00</w:t>
            </w: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18,174,360.00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189,699.85</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56,883,334.76</w:t>
            </w:r>
          </w:p>
        </w:tc>
      </w:tr>
    </w:tbl>
    <w:p>
      <w:pPr>
        <w:spacing w:before="100" w:after="100" w:line="240" w:lineRule="exact"/>
        <w:jc w:val="left"/>
        <w:rPr>
          <w:rFonts w:hint="eastAsia" w:ascii="宋体" w:hAnsi="宋体" w:eastAsia="宋体" w:cs="宋体"/>
          <w:sz w:val="18"/>
          <w:szCs w:val="18"/>
          <w:lang w:eastAsia="zh-CN"/>
        </w:rPr>
      </w:pPr>
      <w:r>
        <w:rPr>
          <w:rFonts w:ascii="宋体" w:hAnsi="宋体" w:eastAsia="宋体" w:cs="宋体"/>
          <w:sz w:val="18"/>
          <w:szCs w:val="18"/>
        </w:rPr>
        <w:t>其他变动的内容</w:t>
      </w:r>
      <w:r>
        <w:rPr>
          <w:rFonts w:hint="eastAsia" w:ascii="宋体" w:hAnsi="宋体" w:cs="宋体"/>
          <w:sz w:val="18"/>
          <w:szCs w:val="18"/>
          <w:lang w:eastAsia="zh-CN"/>
        </w:rPr>
        <w:t>：</w:t>
      </w:r>
    </w:p>
    <w:p>
      <w:pPr>
        <w:pStyle w:val="8"/>
        <w:keepNext w:val="0"/>
        <w:keepLines w:val="0"/>
        <w:widowControl/>
        <w:suppressLineNumbers w:val="0"/>
      </w:pPr>
      <w:r>
        <w:rPr>
          <w:rFonts w:hint="eastAsia" w:ascii="宋体" w:hAnsi="宋体" w:eastAsia="宋体" w:cs="宋体"/>
          <w:color w:val="333333"/>
          <w:sz w:val="18"/>
          <w:szCs w:val="18"/>
          <w:shd w:val="clear" w:fill="FFFFFF"/>
        </w:rPr>
        <w:t>本公司丧失子公司控制权后，剩余股权按公允价值重新计入交易性金融资产。</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报告期内公司主要资产计量属性是否发生重大变化</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numPr>
          <w:ilvl w:val="0"/>
          <w:numId w:val="1"/>
        </w:numPr>
        <w:spacing w:before="300" w:after="300" w:line="280" w:lineRule="exact"/>
        <w:ind w:left="0" w:leftChars="0" w:firstLine="0" w:firstLineChars="0"/>
        <w:jc w:val="left"/>
        <w:outlineLvl w:val="2"/>
        <w:rPr>
          <w:rFonts w:ascii="宋体" w:hAnsi="宋体" w:eastAsia="宋体" w:cs="宋体"/>
          <w:b/>
          <w:bCs/>
          <w:sz w:val="21"/>
          <w:szCs w:val="21"/>
        </w:rPr>
      </w:pPr>
      <w:bookmarkStart w:id="35" w:name="_Toc988924"/>
      <w:r>
        <w:rPr>
          <w:rFonts w:ascii="宋体" w:hAnsi="宋体" w:eastAsia="宋体" w:cs="宋体"/>
          <w:b/>
          <w:bCs/>
          <w:sz w:val="21"/>
          <w:szCs w:val="21"/>
        </w:rPr>
        <w:t>截至报告期末的资产权利受限情况</w:t>
      </w:r>
      <w:bookmarkEnd w:id="35"/>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单位：元</w:t>
      </w:r>
    </w:p>
    <w:tbl>
      <w:tblPr>
        <w:tblStyle w:val="9"/>
        <w:tblW w:w="4603"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21"/>
        <w:gridCol w:w="30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3318"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Style w:val="11"/>
                <w:rFonts w:hint="eastAsia" w:ascii="宋体" w:hAnsi="宋体" w:eastAsia="宋体" w:cs="宋体"/>
                <w:sz w:val="18"/>
                <w:szCs w:val="18"/>
              </w:rPr>
              <w:t>项目</w:t>
            </w:r>
          </w:p>
        </w:tc>
        <w:tc>
          <w:tcPr>
            <w:tcW w:w="16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期末余额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602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黄金租赁保证金</w:t>
            </w:r>
            <w:r>
              <w:rPr>
                <w:rFonts w:hint="eastAsia" w:ascii="宋体" w:hAnsi="宋体" w:eastAsia="宋体" w:cs="宋体"/>
                <w:kern w:val="0"/>
                <w:sz w:val="18"/>
                <w:szCs w:val="18"/>
              </w:rPr>
              <w:t>及其利息</w:t>
            </w:r>
          </w:p>
        </w:tc>
        <w:tc>
          <w:tcPr>
            <w:tcW w:w="30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51,328,583.35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602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期货期权账户保证金</w:t>
            </w:r>
          </w:p>
        </w:tc>
        <w:tc>
          <w:tcPr>
            <w:tcW w:w="30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8,188,990.60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602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司法控制金额</w:t>
            </w:r>
          </w:p>
        </w:tc>
        <w:tc>
          <w:tcPr>
            <w:tcW w:w="30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600,000.00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602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both"/>
              <w:textAlignment w:val="center"/>
              <w:rPr>
                <w:rStyle w:val="11"/>
                <w:rFonts w:hint="eastAsia" w:ascii="宋体" w:hAnsi="宋体" w:eastAsia="宋体" w:cs="宋体"/>
                <w:color w:val="FF0000"/>
                <w:sz w:val="18"/>
                <w:szCs w:val="18"/>
              </w:rPr>
            </w:pPr>
            <w:bookmarkStart w:id="36" w:name="_Toc988925"/>
            <w:r>
              <w:rPr>
                <w:rFonts w:hint="eastAsia" w:ascii="宋体" w:hAnsi="宋体" w:eastAsia="宋体" w:cs="宋体"/>
                <w:b/>
                <w:bCs/>
                <w:i w:val="0"/>
                <w:iCs w:val="0"/>
                <w:color w:val="000000"/>
                <w:kern w:val="0"/>
                <w:sz w:val="18"/>
                <w:szCs w:val="18"/>
                <w:u w:val="none"/>
                <w:lang w:val="en-US" w:eastAsia="zh-CN" w:bidi="ar"/>
              </w:rPr>
              <w:t>合 计</w:t>
            </w:r>
          </w:p>
        </w:tc>
        <w:tc>
          <w:tcPr>
            <w:tcW w:w="30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right"/>
              <w:textAlignment w:val="center"/>
              <w:rPr>
                <w:rStyle w:val="11"/>
                <w:rFonts w:hint="eastAsia" w:ascii="宋体" w:hAnsi="宋体" w:eastAsia="宋体" w:cs="宋体"/>
                <w:b/>
                <w:bCs/>
                <w:color w:val="FF0000"/>
                <w:sz w:val="18"/>
                <w:szCs w:val="18"/>
              </w:rPr>
            </w:pPr>
            <w:r>
              <w:rPr>
                <w:rFonts w:hint="eastAsia" w:ascii="宋体" w:hAnsi="宋体" w:eastAsia="宋体" w:cs="宋体"/>
                <w:b/>
                <w:bCs/>
                <w:i w:val="0"/>
                <w:iCs w:val="0"/>
                <w:color w:val="000000"/>
                <w:kern w:val="0"/>
                <w:sz w:val="18"/>
                <w:szCs w:val="18"/>
                <w:u w:val="none"/>
                <w:lang w:val="en-US" w:eastAsia="zh-CN" w:bidi="ar"/>
              </w:rPr>
              <w:t>60,117,573.95</w:t>
            </w:r>
          </w:p>
        </w:tc>
      </w:tr>
    </w:tbl>
    <w:p>
      <w:pPr>
        <w:keepNext/>
        <w:keepLines/>
        <w:spacing w:before="300" w:after="300" w:line="320" w:lineRule="exact"/>
        <w:jc w:val="left"/>
        <w:outlineLvl w:val="1"/>
        <w:rPr>
          <w:rFonts w:ascii="宋体" w:hAnsi="宋体" w:eastAsia="宋体" w:cs="宋体"/>
          <w:b/>
          <w:bCs/>
          <w:sz w:val="24"/>
          <w:szCs w:val="24"/>
        </w:rPr>
      </w:pPr>
      <w:r>
        <w:rPr>
          <w:rFonts w:ascii="宋体" w:hAnsi="宋体" w:eastAsia="宋体" w:cs="宋体"/>
          <w:b/>
          <w:bCs/>
          <w:sz w:val="24"/>
          <w:szCs w:val="24"/>
        </w:rPr>
        <w:t>七、投资状况分析</w:t>
      </w:r>
      <w:bookmarkEnd w:id="36"/>
    </w:p>
    <w:p>
      <w:pPr>
        <w:keepNext/>
        <w:keepLines/>
        <w:spacing w:before="300" w:after="300" w:line="280" w:lineRule="exact"/>
        <w:jc w:val="left"/>
        <w:outlineLvl w:val="2"/>
        <w:rPr>
          <w:rFonts w:ascii="宋体" w:hAnsi="宋体" w:eastAsia="宋体" w:cs="宋体"/>
          <w:b/>
          <w:bCs/>
          <w:sz w:val="21"/>
          <w:szCs w:val="21"/>
        </w:rPr>
      </w:pPr>
      <w:bookmarkStart w:id="37" w:name="_Toc988926"/>
      <w:r>
        <w:rPr>
          <w:rFonts w:ascii="宋体" w:hAnsi="宋体" w:eastAsia="宋体" w:cs="宋体"/>
          <w:b/>
          <w:bCs/>
          <w:sz w:val="21"/>
          <w:szCs w:val="21"/>
        </w:rPr>
        <w:t>1、总体情况</w:t>
      </w:r>
      <w:bookmarkEnd w:id="37"/>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变动幅度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81,106,905.72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281,736,012.60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-71.21%</w:t>
            </w:r>
          </w:p>
        </w:tc>
      </w:tr>
    </w:tbl>
    <w:p>
      <w:pPr>
        <w:keepNext/>
        <w:keepLines/>
        <w:spacing w:before="300" w:after="300" w:line="280" w:lineRule="exact"/>
        <w:jc w:val="left"/>
        <w:outlineLvl w:val="2"/>
        <w:rPr>
          <w:rFonts w:ascii="宋体" w:hAnsi="宋体" w:eastAsia="宋体" w:cs="宋体"/>
          <w:b/>
          <w:bCs/>
          <w:sz w:val="21"/>
          <w:szCs w:val="21"/>
        </w:rPr>
      </w:pPr>
      <w:bookmarkStart w:id="38" w:name="_Toc988927"/>
      <w:r>
        <w:rPr>
          <w:rFonts w:ascii="宋体" w:hAnsi="宋体" w:eastAsia="宋体" w:cs="宋体"/>
          <w:b/>
          <w:bCs/>
          <w:sz w:val="21"/>
          <w:szCs w:val="21"/>
        </w:rPr>
        <w:t>2、报告期内获取的重大的股权投资情况</w:t>
      </w:r>
      <w:bookmarkEnd w:id="3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9" w:name="_Toc988928"/>
      <w:r>
        <w:rPr>
          <w:rFonts w:ascii="宋体" w:hAnsi="宋体" w:eastAsia="宋体" w:cs="宋体"/>
          <w:b/>
          <w:bCs/>
          <w:sz w:val="21"/>
          <w:szCs w:val="21"/>
        </w:rPr>
        <w:t>3、报告期内正在进行的重大的非股权投资情况</w:t>
      </w:r>
      <w:bookmarkEnd w:id="3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0" w:name="_Toc988929"/>
      <w:r>
        <w:rPr>
          <w:rFonts w:ascii="宋体" w:hAnsi="宋体" w:eastAsia="宋体" w:cs="宋体"/>
          <w:b/>
          <w:bCs/>
          <w:sz w:val="21"/>
          <w:szCs w:val="21"/>
        </w:rPr>
        <w:t>4、金融资产投资</w:t>
      </w:r>
      <w:bookmarkEnd w:id="40"/>
    </w:p>
    <w:p>
      <w:pPr>
        <w:keepNext/>
        <w:keepLines/>
        <w:spacing w:before="300" w:after="300" w:line="280" w:lineRule="exact"/>
        <w:jc w:val="left"/>
        <w:outlineLvl w:val="3"/>
        <w:rPr>
          <w:rFonts w:ascii="宋体" w:hAnsi="宋体" w:eastAsia="宋体" w:cs="宋体"/>
          <w:b/>
          <w:bCs/>
          <w:sz w:val="18"/>
          <w:szCs w:val="18"/>
        </w:rPr>
      </w:pPr>
      <w:bookmarkStart w:id="41" w:name="_Toc988930"/>
      <w:r>
        <w:rPr>
          <w:rFonts w:ascii="宋体" w:hAnsi="宋体" w:eastAsia="宋体" w:cs="宋体"/>
          <w:b/>
          <w:bCs/>
          <w:sz w:val="18"/>
          <w:szCs w:val="18"/>
        </w:rPr>
        <w:t>（1） 证券投资情况</w:t>
      </w:r>
      <w:bookmarkEnd w:id="4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公司报告期不存在证券投资。</w:t>
      </w:r>
    </w:p>
    <w:p>
      <w:pPr>
        <w:keepNext/>
        <w:keepLines/>
        <w:spacing w:before="300" w:after="300" w:line="280" w:lineRule="exact"/>
        <w:jc w:val="left"/>
        <w:outlineLvl w:val="3"/>
        <w:rPr>
          <w:rFonts w:ascii="宋体" w:hAnsi="宋体" w:eastAsia="宋体" w:cs="宋体"/>
          <w:b/>
          <w:bCs/>
          <w:sz w:val="18"/>
          <w:szCs w:val="18"/>
        </w:rPr>
      </w:pPr>
      <w:bookmarkStart w:id="42" w:name="_Toc988931"/>
      <w:r>
        <w:rPr>
          <w:rFonts w:ascii="宋体" w:hAnsi="宋体" w:eastAsia="宋体" w:cs="宋体"/>
          <w:b/>
          <w:bCs/>
          <w:sz w:val="18"/>
          <w:szCs w:val="18"/>
        </w:rPr>
        <w:t>（2） 衍生品投资情况</w:t>
      </w:r>
      <w:bookmarkEnd w:id="4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keepNext/>
        <w:keepLines/>
        <w:spacing w:before="300" w:after="300" w:line="280" w:lineRule="exact"/>
        <w:jc w:val="left"/>
        <w:outlineLvl w:val="4"/>
        <w:rPr>
          <w:rFonts w:ascii="宋体" w:hAnsi="宋体" w:eastAsia="宋体" w:cs="宋体"/>
          <w:b/>
          <w:bCs/>
          <w:sz w:val="21"/>
          <w:szCs w:val="21"/>
        </w:rPr>
      </w:pPr>
      <w:bookmarkStart w:id="43" w:name="_Toc988932"/>
      <w:r>
        <w:rPr>
          <w:rFonts w:ascii="宋体" w:hAnsi="宋体" w:eastAsia="宋体" w:cs="宋体"/>
          <w:b/>
          <w:bCs/>
          <w:sz w:val="21"/>
          <w:szCs w:val="21"/>
        </w:rPr>
        <w:t>1） 报告期内以套期保值为目的的衍生品投资</w:t>
      </w:r>
      <w:bookmarkEnd w:id="4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9"/>
        <w:tblW w:w="9849" w:type="dxa"/>
        <w:tblInd w:w="-2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48"/>
        <w:gridCol w:w="1012"/>
        <w:gridCol w:w="874"/>
        <w:gridCol w:w="780"/>
        <w:gridCol w:w="883"/>
        <w:gridCol w:w="1140"/>
        <w:gridCol w:w="1071"/>
        <w:gridCol w:w="970"/>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衍生品投资类型</w:t>
            </w:r>
          </w:p>
        </w:tc>
        <w:tc>
          <w:tcPr>
            <w:tcW w:w="101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初始投资金额</w:t>
            </w:r>
          </w:p>
        </w:tc>
        <w:tc>
          <w:tcPr>
            <w:tcW w:w="8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期初金额</w:t>
            </w: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本期公允价值变动损益</w:t>
            </w:r>
          </w:p>
        </w:tc>
        <w:tc>
          <w:tcPr>
            <w:tcW w:w="8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计入权益的累计公允价值变动</w:t>
            </w:r>
          </w:p>
        </w:tc>
        <w:tc>
          <w:tcPr>
            <w:tcW w:w="11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报告期内购入金额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报告期内售出金额</w:t>
            </w:r>
          </w:p>
        </w:tc>
        <w:tc>
          <w:tcPr>
            <w:tcW w:w="9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期末投资金额占公司报告期末净资产比例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期货（光大账户）</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val="en-US" w:eastAsia="zh-CN"/>
              </w:rPr>
            </w:pPr>
            <w:r>
              <w:rPr>
                <w:rFonts w:ascii="宋体" w:hAnsi="宋体" w:eastAsia="宋体" w:cs="宋体"/>
                <w:sz w:val="18"/>
                <w:szCs w:val="18"/>
              </w:rPr>
              <w:t>38.2</w:t>
            </w:r>
            <w:r>
              <w:rPr>
                <w:rFonts w:hint="eastAsia" w:ascii="宋体" w:hAnsi="宋体" w:cs="宋体"/>
                <w:sz w:val="18"/>
                <w:szCs w:val="18"/>
                <w:lang w:val="en-US" w:eastAsia="zh-CN"/>
              </w:rPr>
              <w:t>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546.42</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6,563.17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7,132.21</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期货（平安账户）</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val="en-US" w:eastAsia="zh-CN"/>
              </w:rPr>
            </w:pPr>
            <w:r>
              <w:rPr>
                <w:rFonts w:ascii="宋体" w:hAnsi="宋体" w:eastAsia="宋体" w:cs="宋体"/>
                <w:sz w:val="18"/>
                <w:szCs w:val="18"/>
              </w:rPr>
              <w:t>77.6</w:t>
            </w:r>
            <w:r>
              <w:rPr>
                <w:rFonts w:hint="eastAsia" w:ascii="宋体" w:hAnsi="宋体" w:cs="宋体"/>
                <w:sz w:val="18"/>
                <w:szCs w:val="18"/>
                <w:lang w:val="en-US" w:eastAsia="zh-CN"/>
              </w:rPr>
              <w:t>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349.17</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198.98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548.78</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358.15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期货（华泰账户）</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ascii="宋体" w:hAnsi="宋体" w:eastAsia="宋体" w:cs="宋体"/>
                <w:sz w:val="18"/>
                <w:szCs w:val="18"/>
              </w:rPr>
              <w:t>1,050</w:t>
            </w:r>
            <w:r>
              <w:rPr>
                <w:rFonts w:hint="eastAsia" w:ascii="宋体" w:hAnsi="宋体" w:cs="宋体"/>
                <w:sz w:val="18"/>
                <w:szCs w:val="18"/>
                <w:lang w:val="en-US" w:eastAsia="zh-CN"/>
              </w:rPr>
              <w:t>.00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6,456.46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5,643.22</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667.45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期货（中信账户）</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lang w:val="en-US" w:eastAsia="zh-CN"/>
              </w:rPr>
            </w:pPr>
            <w:r>
              <w:rPr>
                <w:rFonts w:ascii="宋体" w:hAnsi="宋体" w:eastAsia="宋体" w:cs="宋体"/>
                <w:sz w:val="18"/>
                <w:szCs w:val="18"/>
              </w:rPr>
              <w:t>57.2</w:t>
            </w:r>
            <w:r>
              <w:rPr>
                <w:rFonts w:hint="eastAsia" w:ascii="宋体" w:hAnsi="宋体" w:cs="宋体"/>
                <w:sz w:val="18"/>
                <w:szCs w:val="18"/>
                <w:lang w:val="en-US" w:eastAsia="zh-CN"/>
              </w:rPr>
              <w:t>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-0.14</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1,301.26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3,125.83</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146.61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收益互换（中信账户）</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ascii="宋体" w:hAnsi="宋体" w:eastAsia="宋体" w:cs="宋体"/>
                <w:sz w:val="18"/>
                <w:szCs w:val="18"/>
              </w:rPr>
              <w:t>50</w:t>
            </w:r>
            <w:r>
              <w:rPr>
                <w:rFonts w:hint="eastAsia" w:ascii="宋体" w:hAnsi="宋体" w:cs="宋体"/>
                <w:sz w:val="18"/>
                <w:szCs w:val="18"/>
                <w:lang w:val="en-US" w:eastAsia="zh-CN"/>
              </w:rPr>
              <w:t>.00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56.48</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ascii="宋体" w:hAnsi="宋体" w:eastAsia="宋体" w:cs="宋体"/>
                <w:sz w:val="18"/>
                <w:szCs w:val="18"/>
              </w:rPr>
              <w:t>1,273</w:t>
            </w:r>
            <w:r>
              <w:rPr>
                <w:rFonts w:hint="eastAsia" w:ascii="宋体" w:hAnsi="宋体" w:cs="宋体"/>
                <w:sz w:val="18"/>
                <w:szCs w:val="18"/>
                <w:lang w:val="en-US" w:eastAsia="zh-CN"/>
              </w:rPr>
              <w:t>.00</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895.59</w:t>
            </w: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29.69</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14,576.35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16,506.52</w:t>
            </w:r>
          </w:p>
        </w:tc>
        <w:tc>
          <w:tcPr>
            <w:tcW w:w="9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1,172.21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报告期内套期保值业务的会计政策、会计核算具体原则，以及与上一报告期相比是否发生重大变化的说明</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报告期实际损益情况的说明</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由于金价上涨等原因，报告期内期货账户套保实际亏损625.47万元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套期保值效果的说明</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期保值有效性衡量方法：套期保值有效性=期货价格变动值／现货价格变动值。该数值越接近100%，代表套期保值有效性就越高，在我国会计准则中规定，当套期保值有效性在80%至125%的范围内，该套期保值被认定为高度有效。期货因价格的波动造成的损失625.47万，套期保值有效性在99%以上，由此可以证明公司的套期保值效果是高度有效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衍生品投资资金来源</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报告期衍生品持仓的风险分析及控制措施说明（包括但不限于市场风险、流动性风险、信用风险、操作风险、法律风险等）</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套期保值业务遵循基本原则：期货品种及合约数量的与现货头寸的价值变动大体相当；期货头寸与现货头寸方向相反；期货头寸持有的时间段与现货市场承担风险的时间段相对应。黄金期货头寸主要的风险有：基差风险、强平风险以及交易员操作失误风险等。</w:t>
            </w:r>
          </w:p>
          <w:p>
            <w:pPr>
              <w:numPr>
                <w:ilvl w:val="0"/>
                <w:numId w:val="0"/>
              </w:num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1、</w:t>
            </w:r>
            <w:r>
              <w:rPr>
                <w:rFonts w:ascii="宋体" w:hAnsi="宋体" w:eastAsia="宋体" w:cs="宋体"/>
                <w:sz w:val="18"/>
                <w:szCs w:val="18"/>
              </w:rPr>
              <w:t>对于基差风险，在基差缩小时，尽量使用黄金租借作为库存，少建或不建自有库存；</w:t>
            </w:r>
          </w:p>
          <w:p>
            <w:pPr>
              <w:numPr>
                <w:ilvl w:val="0"/>
                <w:numId w:val="0"/>
              </w:num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2、</w:t>
            </w:r>
            <w:r>
              <w:rPr>
                <w:rFonts w:ascii="宋体" w:hAnsi="宋体" w:eastAsia="宋体" w:cs="宋体"/>
                <w:sz w:val="18"/>
                <w:szCs w:val="18"/>
              </w:rPr>
              <w:t>对于强平风险，建立风险预警——金价有剧烈波动风险时，提前做好资金计划，维持保证金账户资金充足状态；如有突发情况触发强行平仓，第一时间上报公司管理层，并择机回补被强平的套保头寸；</w:t>
            </w:r>
          </w:p>
          <w:p>
            <w:pPr>
              <w:numPr>
                <w:ilvl w:val="0"/>
                <w:numId w:val="0"/>
              </w:num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3、</w:t>
            </w:r>
            <w:r>
              <w:rPr>
                <w:rFonts w:ascii="宋体" w:hAnsi="宋体" w:eastAsia="宋体" w:cs="宋体"/>
                <w:sz w:val="18"/>
                <w:szCs w:val="18"/>
              </w:rPr>
              <w:t>对于操作失误风险，建立交易员培训机制，严格按制度要求、工作流程要求进行操作、复核，履行每日汇报。</w:t>
            </w:r>
          </w:p>
          <w:p>
            <w:pPr>
              <w:numPr>
                <w:ilvl w:val="0"/>
                <w:numId w:val="0"/>
              </w:numPr>
              <w:spacing w:before="0" w:after="0" w:line="240" w:lineRule="exact"/>
              <w:jc w:val="left"/>
              <w:rPr>
                <w:rFonts w:ascii="宋体" w:hAnsi="宋体" w:eastAsia="宋体" w:cs="宋体"/>
                <w:sz w:val="18"/>
                <w:szCs w:val="18"/>
              </w:rPr>
            </w:pPr>
            <w:r>
              <w:rPr>
                <w:rFonts w:ascii="宋体" w:hAnsi="宋体" w:eastAsia="宋体" w:cs="宋体"/>
                <w:sz w:val="18"/>
                <w:szCs w:val="18"/>
              </w:rPr>
              <w:t>公司已经建立科学而有效的套保管理体系，对套保的管理从组织结构设计、计划体系、管理和评估以及动态风险监控四个方面落实。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已投资衍生品报告期内市场价格或产品公允价值变动的情况，对衍生品公允价值的分析应披露具体使用的方法及相关假设与参数的设定</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报告期内套保持仓的期货合约公允价值变动29.69万元，公司采用2023年12月份最后一个交易日（12月29日）在上海黄金交易所持仓的期货合约收盘价作为公允价值，浮动盈亏则为公允价值变动。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涉诉情况（如适用）</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衍生品投资审批董事会公告披露日期（如有）</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2023年01月13日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独立董事对公司衍生品投资及风险控制情况的专项意见</w:t>
            </w:r>
          </w:p>
        </w:tc>
        <w:tc>
          <w:tcPr>
            <w:tcW w:w="7801"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w:t>
            </w:r>
            <w:r>
              <w:rPr>
                <w:rFonts w:hint="eastAsia" w:ascii="宋体" w:hAnsi="宋体" w:cs="宋体"/>
                <w:sz w:val="18"/>
                <w:szCs w:val="18"/>
                <w:lang w:eastAsia="zh-CN"/>
              </w:rPr>
              <w:t>、</w:t>
            </w:r>
            <w:r>
              <w:rPr>
                <w:rFonts w:ascii="宋体" w:hAnsi="宋体" w:eastAsia="宋体" w:cs="宋体"/>
                <w:sz w:val="18"/>
                <w:szCs w:val="18"/>
              </w:rPr>
              <w:t>公司使用自有资金建立黄金库存，并使用黄金期货等工具，对公司自有黄金库存进行套期保值。公司使用自有资金开展套期保值业务，有利于锁定公司的产品预期利润，控制经营风险，提高公司抵御市场波动的能力，不存在损害公司和全体股东利益的情形。</w:t>
            </w:r>
          </w:p>
          <w:p>
            <w:pPr>
              <w:spacing w:before="0" w:after="0" w:line="240" w:lineRule="exact"/>
              <w:jc w:val="left"/>
              <w:rPr>
                <w:rFonts w:ascii="宋体" w:hAnsi="宋体" w:eastAsia="宋体" w:cs="宋体"/>
                <w:sz w:val="18"/>
                <w:szCs w:val="18"/>
              </w:rPr>
            </w:pPr>
            <w:r>
              <w:rPr>
                <w:rFonts w:ascii="宋体" w:hAnsi="宋体" w:eastAsia="宋体" w:cs="宋体"/>
                <w:sz w:val="18"/>
                <w:szCs w:val="18"/>
              </w:rPr>
              <w:t>2</w:t>
            </w:r>
            <w:r>
              <w:rPr>
                <w:rFonts w:hint="eastAsia" w:ascii="宋体" w:hAnsi="宋体" w:cs="宋体"/>
                <w:sz w:val="18"/>
                <w:szCs w:val="18"/>
                <w:lang w:eastAsia="zh-CN"/>
              </w:rPr>
              <w:t>、</w:t>
            </w:r>
            <w:r>
              <w:rPr>
                <w:rFonts w:ascii="宋体" w:hAnsi="宋体" w:eastAsia="宋体" w:cs="宋体"/>
                <w:sz w:val="18"/>
                <w:szCs w:val="18"/>
              </w:rPr>
              <w:t>公司已就报告期内开展套期保值业务的行为建立了健全的组织机构、业务操作流程、审批流程以及《套期保值业务管理办法》。</w:t>
            </w:r>
          </w:p>
          <w:p>
            <w:pPr>
              <w:spacing w:before="0" w:after="0" w:line="240" w:lineRule="exact"/>
              <w:jc w:val="left"/>
              <w:rPr>
                <w:rFonts w:ascii="宋体" w:hAnsi="宋体" w:eastAsia="宋体" w:cs="宋体"/>
                <w:sz w:val="18"/>
                <w:szCs w:val="18"/>
              </w:rPr>
            </w:pPr>
            <w:r>
              <w:rPr>
                <w:rFonts w:ascii="宋体" w:hAnsi="宋体" w:eastAsia="宋体" w:cs="宋体"/>
                <w:sz w:val="18"/>
                <w:szCs w:val="18"/>
              </w:rPr>
              <w:t>3</w:t>
            </w:r>
            <w:r>
              <w:rPr>
                <w:rFonts w:hint="eastAsia" w:ascii="宋体" w:hAnsi="宋体" w:cs="宋体"/>
                <w:sz w:val="18"/>
                <w:szCs w:val="18"/>
                <w:lang w:eastAsia="zh-CN"/>
              </w:rPr>
              <w:t>、</w:t>
            </w:r>
            <w:r>
              <w:rPr>
                <w:rFonts w:ascii="宋体" w:hAnsi="宋体" w:eastAsia="宋体" w:cs="宋体"/>
                <w:sz w:val="18"/>
                <w:szCs w:val="18"/>
              </w:rPr>
              <w:t>公司使用自有资金开展套期保值业务的相关审批程序符合国家相关法律、法规及《公司章程》的有关规定。</w:t>
            </w:r>
          </w:p>
        </w:tc>
      </w:tr>
    </w:tbl>
    <w:p>
      <w:pPr>
        <w:keepNext/>
        <w:keepLines/>
        <w:spacing w:before="300" w:after="300" w:line="280" w:lineRule="exact"/>
        <w:jc w:val="left"/>
        <w:outlineLvl w:val="4"/>
        <w:rPr>
          <w:rFonts w:ascii="宋体" w:hAnsi="宋体" w:eastAsia="宋体" w:cs="宋体"/>
          <w:b/>
          <w:bCs/>
          <w:sz w:val="18"/>
          <w:szCs w:val="18"/>
        </w:rPr>
      </w:pPr>
      <w:bookmarkStart w:id="44" w:name="_Toc988933"/>
      <w:r>
        <w:rPr>
          <w:rFonts w:ascii="宋体" w:hAnsi="宋体" w:eastAsia="宋体" w:cs="宋体"/>
          <w:b/>
          <w:bCs/>
          <w:sz w:val="18"/>
          <w:szCs w:val="18"/>
        </w:rPr>
        <w:t>2） 报告期内以投机为目的的衍生品投资</w:t>
      </w:r>
      <w:bookmarkEnd w:id="4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公司报告期不存在以投机为目的的衍生品投资。</w:t>
      </w:r>
    </w:p>
    <w:p>
      <w:pPr>
        <w:keepNext/>
        <w:keepLines/>
        <w:spacing w:before="300" w:after="300" w:line="280" w:lineRule="exact"/>
        <w:jc w:val="left"/>
        <w:outlineLvl w:val="2"/>
        <w:rPr>
          <w:rFonts w:ascii="宋体" w:hAnsi="宋体" w:eastAsia="宋体" w:cs="宋体"/>
          <w:b/>
          <w:bCs/>
          <w:sz w:val="21"/>
          <w:szCs w:val="21"/>
        </w:rPr>
      </w:pPr>
      <w:bookmarkStart w:id="45" w:name="_Toc988934"/>
      <w:r>
        <w:rPr>
          <w:rFonts w:ascii="宋体" w:hAnsi="宋体" w:eastAsia="宋体" w:cs="宋体"/>
          <w:b/>
          <w:bCs/>
          <w:sz w:val="21"/>
          <w:szCs w:val="21"/>
        </w:rPr>
        <w:t>5、募集资金使用情况</w:t>
      </w:r>
      <w:bookmarkEnd w:id="45"/>
    </w:p>
    <w:p>
      <w:pPr>
        <w:keepNext w:val="0"/>
        <w:keepLines w:val="0"/>
        <w:pageBreakBefore w:val="0"/>
        <w:widowControl w:val="0"/>
        <w:kinsoku/>
        <w:wordWrap/>
        <w:overflowPunct/>
        <w:topLinePunct w:val="0"/>
        <w:autoSpaceDE/>
        <w:autoSpaceDN/>
        <w:bidi w:val="0"/>
        <w:adjustRightInd/>
        <w:snapToGrid/>
        <w:spacing w:before="100" w:after="100" w:line="240" w:lineRule="exact"/>
        <w:jc w:val="left"/>
        <w:textAlignment w:val="auto"/>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val="0"/>
        <w:keepLines w:val="0"/>
        <w:pageBreakBefore w:val="0"/>
        <w:widowControl w:val="0"/>
        <w:kinsoku/>
        <w:wordWrap/>
        <w:overflowPunct/>
        <w:topLinePunct w:val="0"/>
        <w:autoSpaceDE/>
        <w:autoSpaceDN/>
        <w:bidi w:val="0"/>
        <w:adjustRightInd/>
        <w:snapToGrid/>
        <w:spacing w:before="40" w:after="40" w:line="240" w:lineRule="exact"/>
        <w:jc w:val="left"/>
        <w:textAlignment w:val="auto"/>
        <w:rPr>
          <w:rFonts w:ascii="宋体" w:hAnsi="宋体" w:eastAsia="宋体" w:cs="宋体"/>
          <w:sz w:val="18"/>
          <w:szCs w:val="18"/>
        </w:rPr>
      </w:pPr>
      <w:r>
        <w:rPr>
          <w:rFonts w:ascii="宋体" w:hAnsi="宋体" w:eastAsia="宋体" w:cs="宋体"/>
          <w:sz w:val="18"/>
          <w:szCs w:val="18"/>
        </w:rPr>
        <w:t>公司报告期无募集资金使用情况。</w:t>
      </w:r>
    </w:p>
    <w:p>
      <w:pPr>
        <w:keepNext w:val="0"/>
        <w:keepLines w:val="0"/>
        <w:pageBreakBefore w:val="0"/>
        <w:widowControl w:val="0"/>
        <w:kinsoku/>
        <w:wordWrap/>
        <w:overflowPunct/>
        <w:topLinePunct w:val="0"/>
        <w:autoSpaceDE/>
        <w:autoSpaceDN/>
        <w:bidi w:val="0"/>
        <w:adjustRightInd/>
        <w:snapToGrid/>
        <w:spacing w:before="300" w:after="300" w:line="320" w:lineRule="exact"/>
        <w:jc w:val="left"/>
        <w:textAlignment w:val="auto"/>
        <w:outlineLvl w:val="1"/>
        <w:rPr>
          <w:rFonts w:ascii="宋体" w:hAnsi="宋体" w:eastAsia="宋体" w:cs="宋体"/>
          <w:b/>
          <w:bCs/>
          <w:sz w:val="24"/>
          <w:szCs w:val="24"/>
        </w:rPr>
      </w:pPr>
      <w:bookmarkStart w:id="46" w:name="_Toc988935"/>
      <w:r>
        <w:rPr>
          <w:rFonts w:ascii="宋体" w:hAnsi="宋体" w:eastAsia="宋体" w:cs="宋体"/>
          <w:b/>
          <w:bCs/>
          <w:sz w:val="24"/>
          <w:szCs w:val="24"/>
        </w:rPr>
        <w:t>八、重大资产和股权出售</w:t>
      </w:r>
      <w:bookmarkEnd w:id="46"/>
    </w:p>
    <w:p>
      <w:pPr>
        <w:keepNext/>
        <w:keepLines/>
        <w:spacing w:before="300" w:after="300" w:line="280" w:lineRule="exact"/>
        <w:jc w:val="left"/>
        <w:outlineLvl w:val="2"/>
        <w:rPr>
          <w:rFonts w:ascii="宋体" w:hAnsi="宋体" w:eastAsia="宋体" w:cs="宋体"/>
          <w:b/>
          <w:bCs/>
          <w:sz w:val="21"/>
          <w:szCs w:val="21"/>
        </w:rPr>
      </w:pPr>
      <w:bookmarkStart w:id="47" w:name="_Toc988936"/>
      <w:r>
        <w:rPr>
          <w:rFonts w:ascii="宋体" w:hAnsi="宋体" w:eastAsia="宋体" w:cs="宋体"/>
          <w:b/>
          <w:bCs/>
          <w:sz w:val="21"/>
          <w:szCs w:val="21"/>
        </w:rPr>
        <w:t>1、出售重大资产情况</w:t>
      </w:r>
      <w:bookmarkEnd w:id="4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公司报告期未出售重大资产。</w:t>
      </w:r>
    </w:p>
    <w:p>
      <w:pPr>
        <w:keepNext/>
        <w:keepLines/>
        <w:spacing w:before="300" w:after="300" w:line="280" w:lineRule="exact"/>
        <w:jc w:val="left"/>
        <w:outlineLvl w:val="2"/>
        <w:rPr>
          <w:rFonts w:ascii="宋体" w:hAnsi="宋体" w:eastAsia="宋体" w:cs="宋体"/>
          <w:b/>
          <w:bCs/>
          <w:sz w:val="21"/>
          <w:szCs w:val="21"/>
        </w:rPr>
      </w:pPr>
      <w:bookmarkStart w:id="48" w:name="_Toc988937"/>
      <w:r>
        <w:rPr>
          <w:rFonts w:ascii="宋体" w:hAnsi="宋体" w:eastAsia="宋体" w:cs="宋体"/>
          <w:b/>
          <w:bCs/>
          <w:sz w:val="21"/>
          <w:szCs w:val="21"/>
        </w:rPr>
        <w:t>2、出售重大股权情况</w:t>
      </w:r>
      <w:bookmarkEnd w:id="4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49" w:name="_Toc988938"/>
      <w:r>
        <w:rPr>
          <w:rFonts w:ascii="宋体" w:hAnsi="宋体" w:eastAsia="宋体" w:cs="宋体"/>
          <w:b/>
          <w:bCs/>
          <w:sz w:val="24"/>
          <w:szCs w:val="24"/>
        </w:rPr>
        <w:t>九、主要控股参股公司分析</w:t>
      </w:r>
      <w:bookmarkEnd w:id="4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主要子公司及对公司净利润影响达10%以上的参股公司情况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952" w:type="dxa"/>
        <w:tblInd w:w="-313"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17"/>
        <w:gridCol w:w="994"/>
        <w:gridCol w:w="1149"/>
        <w:gridCol w:w="1260"/>
        <w:gridCol w:w="1048"/>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公司名称</w:t>
            </w:r>
          </w:p>
        </w:tc>
        <w:tc>
          <w:tcPr>
            <w:tcW w:w="9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公司类型</w:t>
            </w:r>
          </w:p>
        </w:tc>
        <w:tc>
          <w:tcPr>
            <w:tcW w:w="11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主要业务</w:t>
            </w:r>
          </w:p>
        </w:tc>
        <w:tc>
          <w:tcPr>
            <w:tcW w:w="12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10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总资产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深圳市汽车工业贸易有限公司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物业租赁</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58,960,000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240,716,215.15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207,597,346.00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32,686,463.27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27,244,769.88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21,284,451.94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深圳市中天实业有限公司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物业租赁</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366,221,900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630,534,422.14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482,459,825.34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126,894,290.94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73,608,937.18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55,906,497.74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5,008,846.45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-11,323,386.27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53,354,433.99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-22,299,456.47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-22,275,215.18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深圳市新永通机动车检测设备有限公司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物业租赁</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9,607,800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11,882,661.61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5,218,067.98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7,244,015.35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2,883,640.63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2,740,738.29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深圳市特力新永通汽车发展有限公司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物业租赁</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32,900,000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98,426,261.53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79,340,744.75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12,172,954.64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6,733,708.21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5,056,050.73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深圳市特力宝库供应链科技有限公司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黄金饰品、贵金属制品的购销及租赁、保管箱租赁、仓储服务</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50,000,000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92,141,429.66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46,425,387.23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16,505,468.41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328,517.64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329,343.33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深圳珠宝产业服务有限公司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珠宝展销会策划、珠宝寄售、展览展示策划、会务服务、市场营销策划</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55,179,925.12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35,955,528.61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12,199,867.27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4,854,978.01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4,854,978.20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子公司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投资金条销售、黄金回收、黄金提纯/兑换服务</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200,000,000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408,845,673.40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197,912,526.79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1,492,021,725.24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-1,555,852.20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-1,528,616.54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深圳特力吉盟投资有限公司</w:t>
            </w:r>
          </w:p>
        </w:tc>
        <w:tc>
          <w:tcPr>
            <w:tcW w:w="9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参股公司</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投资兴办实业、物业管理、租赁</w:t>
            </w:r>
          </w:p>
        </w:tc>
        <w:tc>
          <w:tcPr>
            <w:tcW w:w="12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53,704,960</w:t>
            </w:r>
          </w:p>
        </w:tc>
        <w:tc>
          <w:tcPr>
            <w:tcW w:w="10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rPr>
              <w:t>386,977,641.70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rPr>
              <w:t>98,501,690.09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114,967,524.80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45,918,906.43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34,214,249.85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报告期内取得和处置子公司的情况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0" w:name="_Toc988939"/>
      <w:r>
        <w:rPr>
          <w:rFonts w:ascii="宋体" w:hAnsi="宋体" w:eastAsia="宋体" w:cs="宋体"/>
          <w:b/>
          <w:bCs/>
          <w:sz w:val="24"/>
          <w:szCs w:val="24"/>
        </w:rPr>
        <w:t>十、公司控制的结构化主体情况</w:t>
      </w:r>
      <w:bookmarkEnd w:id="5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1" w:name="_Toc988940"/>
      <w:r>
        <w:rPr>
          <w:rFonts w:ascii="宋体" w:hAnsi="宋体" w:eastAsia="宋体" w:cs="宋体"/>
          <w:b/>
          <w:bCs/>
          <w:sz w:val="24"/>
          <w:szCs w:val="24"/>
        </w:rPr>
        <w:t>十一、公司未来发展的展望</w:t>
      </w:r>
      <w:bookmarkEnd w:id="51"/>
    </w:p>
    <w:p>
      <w:pPr>
        <w:pStyle w:val="8"/>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4"/>
          <w:szCs w:val="24"/>
        </w:rPr>
      </w:pPr>
      <w:r>
        <w:rPr>
          <w:rStyle w:val="11"/>
          <w:rFonts w:hint="eastAsia" w:ascii="宋体" w:hAnsi="宋体" w:eastAsia="宋体" w:cs="宋体"/>
          <w:sz w:val="21"/>
          <w:szCs w:val="21"/>
        </w:rPr>
        <w:t>（一）发展战略</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公司自2014年制定了向珠宝产业第三方综合服务商转型的战略后，一直坚定不移</w:t>
      </w:r>
      <w:r>
        <w:rPr>
          <w:rFonts w:hint="eastAsia" w:ascii="宋体" w:hAnsi="宋体" w:cs="宋体"/>
          <w:color w:val="000000"/>
          <w:sz w:val="21"/>
          <w:szCs w:val="21"/>
          <w:lang w:val="en-US" w:eastAsia="zh-CN"/>
        </w:rPr>
        <w:t>地</w:t>
      </w:r>
      <w:r>
        <w:rPr>
          <w:rFonts w:hint="eastAsia" w:ascii="宋体" w:hAnsi="宋体" w:eastAsia="宋体" w:cs="宋体"/>
          <w:color w:val="000000"/>
          <w:sz w:val="21"/>
          <w:szCs w:val="21"/>
        </w:rPr>
        <w:t>按照既定规划稳步推进战略转型和项目落地，经过多年的探索和尝试，取得了实质性的成果。“</w:t>
      </w:r>
      <w:r>
        <w:rPr>
          <w:rFonts w:hint="eastAsia" w:ascii="宋体" w:hAnsi="宋体" w:eastAsia="宋体" w:cs="宋体"/>
          <w:sz w:val="21"/>
          <w:szCs w:val="21"/>
        </w:rPr>
        <w:t>十四五”期间，公司立足于新发展阶段，围绕“坚持综合价值穿越经济周期、利用服务提升价值链并寻求资本赋值、深耕珠宝第三方”的战略思路，着力于珠宝第三方服务平台建设，深化拓展珠宝第三方服务，促进产业升级，提升产能和效益，努力建成国内珠宝玉石产业最具影响力的第三方综合服务商。</w:t>
      </w:r>
      <w:r>
        <w:rPr>
          <w:rFonts w:hint="eastAsia" w:ascii="宋体" w:hAnsi="宋体" w:eastAsia="宋体" w:cs="宋体"/>
          <w:color w:val="000000"/>
          <w:sz w:val="21"/>
          <w:szCs w:val="21"/>
        </w:rPr>
        <w:t>2024年公司将全力推进珠宝第三方综合服务实现高质量发展，在业务、管理、人才、技术、信息等方面综合发展，不断构筑核心竞争优势，推动各项工作取得突破性进展。</w:t>
      </w:r>
    </w:p>
    <w:p>
      <w:pPr>
        <w:pStyle w:val="8"/>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4"/>
          <w:szCs w:val="24"/>
        </w:rPr>
      </w:pPr>
      <w:r>
        <w:rPr>
          <w:rStyle w:val="11"/>
          <w:rFonts w:hint="eastAsia" w:ascii="宋体" w:hAnsi="宋体" w:eastAsia="宋体" w:cs="宋体"/>
          <w:color w:val="000000"/>
          <w:sz w:val="21"/>
          <w:szCs w:val="21"/>
        </w:rPr>
        <w:t>（二）2024年经营计划</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1、推动党建与经营同向聚合，整体提升企业党建工作质量。</w:t>
      </w:r>
      <w:r>
        <w:rPr>
          <w:rFonts w:hint="eastAsia" w:ascii="宋体" w:hAnsi="宋体" w:eastAsia="宋体" w:cs="宋体"/>
          <w:sz w:val="21"/>
          <w:szCs w:val="21"/>
        </w:rPr>
        <w:t>在经营治理过程中，充分发挥公司党委把方向、管大局、保落实的领导作用和党员先锋的模范作用，公司党委积极探索创新党建工作方式方法，注重加强党的基层组织建设，推动战略规划的顺利实施。</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2、纵深推进，不断提升珠宝第三方综合服务能力。全面加大市场开拓力度，不断拓宽业务渠道、加深客户黏性及多元化服务，推进综贸平台建设；健全完善服务体系，落地新服务品类及业务模式；结合业务拓展需求，加速推进数字化建设，赋能业务健康发展。</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3、持续创新，提升物业商业价值。完成公司商业物理平台业态布局和调整，扩增物理平台连通通道，发挥物理平台优势，不断挖掘增值服务；持续提升管理水平，发挥信息系统的支撑作用，搭建客户分析体系，提升服务质量；持续运营创新，打造高效的商管运营团队。</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4、优化组织架构，持续提升战略管控能力。以实干促实绩，做好团队管理工作；从业务需求出发，动态调整组织架构及人员配置；持续完善激励机制，加强人才队伍建设；优化4S管理体系和OKR管理工具，提升管理效率，推动战略落实。</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rPr>
      </w:pPr>
      <w:r>
        <w:rPr>
          <w:rFonts w:hint="eastAsia" w:ascii="宋体" w:hAnsi="宋体" w:eastAsia="宋体" w:cs="宋体"/>
          <w:color w:val="000000"/>
          <w:sz w:val="21"/>
          <w:szCs w:val="21"/>
        </w:rPr>
        <w:t>5、提高安全生产能力，筑牢安全发展根基。加大内外部培训复训，建立共同成长机制；狠抓老旧物业加固改造等安全管理工作；完成安全生产管理体系评估体系和三年提升计划。</w:t>
      </w:r>
    </w:p>
    <w:p>
      <w:pPr>
        <w:pStyle w:val="8"/>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4"/>
          <w:szCs w:val="24"/>
        </w:rPr>
      </w:pPr>
      <w:r>
        <w:rPr>
          <w:rStyle w:val="11"/>
          <w:rFonts w:hint="eastAsia" w:ascii="宋体" w:hAnsi="宋体" w:eastAsia="宋体" w:cs="宋体"/>
          <w:color w:val="000000"/>
          <w:sz w:val="21"/>
          <w:szCs w:val="21"/>
        </w:rPr>
        <w:t>（三）可能面对的风险及应对措施</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在战略落地、项目运营的过程中，我们将客观、清晰地认识到可能存在的风险，并采取积极有效的措施加以防范。</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 xml:space="preserve">1、市场价格波动风险 </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公司主要原材料为黄金、钻石等。近年来受国际、国内经济形势变动和消费需求变化的影响，黄金等原材料价格会产生一定波动，对公司经营带来不确定影响。</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4"/>
          <w:szCs w:val="24"/>
        </w:rPr>
      </w:pPr>
      <w:r>
        <w:rPr>
          <w:rFonts w:hint="eastAsia" w:ascii="宋体" w:hAnsi="宋体" w:eastAsia="宋体" w:cs="宋体"/>
          <w:color w:val="000000"/>
          <w:sz w:val="21"/>
          <w:szCs w:val="21"/>
        </w:rPr>
        <w:t>针对这一风险，公司将积极采取各类防范措施，一是持续强化风险管理，设立合规管理部，创新风险防控手段，提升风险管理能力；二是坚定推进公司战略转型步伐，通过创新业务模式推动转型项目的落地，开拓增量市场，扩大业务规模，寻找新的利润增长点，不断提升公司竞争力，为公司长期稳定发展提供良好基础。</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rPr>
      </w:pPr>
      <w:r>
        <w:rPr>
          <w:rFonts w:hint="eastAsia" w:ascii="宋体" w:hAnsi="宋体" w:eastAsia="宋体" w:cs="宋体"/>
          <w:color w:val="000000"/>
          <w:sz w:val="21"/>
          <w:szCs w:val="21"/>
        </w:rPr>
        <w:t>2、专业人才储备不足的风险</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rPr>
      </w:pPr>
      <w:r>
        <w:rPr>
          <w:rFonts w:hint="eastAsia" w:ascii="宋体" w:hAnsi="宋体" w:eastAsia="宋体" w:cs="宋体"/>
          <w:color w:val="000000"/>
          <w:sz w:val="21"/>
          <w:szCs w:val="21"/>
        </w:rPr>
        <w:t>人才是企业发展的根本，经过持续的优化调整，人才问题得到了一定缓解。但是，随着转型业务的不断深化和拓展，人才紧缺问题依然严重。</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rPr>
      </w:pPr>
      <w:r>
        <w:rPr>
          <w:rFonts w:hint="eastAsia" w:ascii="宋体" w:hAnsi="宋体" w:eastAsia="宋体" w:cs="宋体"/>
          <w:color w:val="000000"/>
          <w:sz w:val="21"/>
          <w:szCs w:val="21"/>
        </w:rPr>
        <w:t>针对这一风险，一是加大内部培养和外部引进专业人员力度；二是加快青年管理人员的培养选拔；三是以业务为导向，优化组织架构及人员配置，提高组织效率。</w:t>
      </w:r>
    </w:p>
    <w:p>
      <w:pPr>
        <w:keepNext/>
        <w:keepLines/>
        <w:spacing w:before="300" w:after="300" w:line="320" w:lineRule="exact"/>
        <w:jc w:val="left"/>
        <w:outlineLvl w:val="1"/>
        <w:rPr>
          <w:rFonts w:ascii="宋体" w:hAnsi="宋体" w:eastAsia="宋体" w:cs="宋体"/>
          <w:b/>
          <w:bCs/>
          <w:sz w:val="24"/>
          <w:szCs w:val="24"/>
        </w:rPr>
      </w:pPr>
      <w:bookmarkStart w:id="52" w:name="_Toc988941"/>
      <w:r>
        <w:rPr>
          <w:rFonts w:ascii="宋体" w:hAnsi="宋体" w:eastAsia="宋体" w:cs="宋体"/>
          <w:b/>
          <w:bCs/>
          <w:sz w:val="24"/>
          <w:szCs w:val="24"/>
        </w:rPr>
        <w:t>十二、报告期内接待调研、沟通、采访等活动</w:t>
      </w:r>
      <w:bookmarkEnd w:id="5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31"/>
        <w:gridCol w:w="961"/>
        <w:gridCol w:w="939"/>
        <w:gridCol w:w="1315"/>
        <w:gridCol w:w="1054"/>
        <w:gridCol w:w="2431"/>
        <w:gridCol w:w="12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接待时间</w:t>
            </w:r>
          </w:p>
        </w:tc>
        <w:tc>
          <w:tcPr>
            <w:tcW w:w="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接待地点</w:t>
            </w:r>
          </w:p>
        </w:tc>
        <w:tc>
          <w:tcPr>
            <w:tcW w:w="93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接待方式</w:t>
            </w:r>
          </w:p>
        </w:tc>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接待对象类型</w:t>
            </w:r>
          </w:p>
        </w:tc>
        <w:tc>
          <w:tcPr>
            <w:tcW w:w="10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接待对象</w:t>
            </w:r>
          </w:p>
        </w:tc>
        <w:tc>
          <w:tcPr>
            <w:tcW w:w="24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谈论的主要内容及提供的资料</w:t>
            </w:r>
          </w:p>
        </w:tc>
        <w:tc>
          <w:tcPr>
            <w:tcW w:w="12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调研的基本情况索引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2023年01月04日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咨询公司是否披露业绩预告</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2023年01月17日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咨询公司是否披露业绩预告</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2023年02月14日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咨询公司经营情况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2023年03月03日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咨询公司董监高保险情况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2023年03月22日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咨询公司年报披露时点</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2023年04月07日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咨询公司股东减持情况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2023年04月19日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咨询公司业务情况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2023年05月12日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咨询公司股东人数</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2023年05月31日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咨询公司主营业务情况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2023年06月21日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咨询公司经营情况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2023年06月29日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咨询公司股价问题</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2023年06月30日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咨询公司分红事项</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2023年07月03日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咨询公司半年度业绩情况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2023年07月07日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咨询公司股东减持情况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2023年08月02日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咨询公司半年度业绩情况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2023年08月03日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咨询公司业务情况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2023年08月30日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咨询公司ESG情况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2023年09月15日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咨询公司业务情况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2023年10月10日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咨询公司三季度经营情况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2023年11月09日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咨询公司经营情况</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2023年12月04日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咨询公司股东人数</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2023年12月28日</w:t>
            </w:r>
          </w:p>
        </w:tc>
        <w:tc>
          <w:tcPr>
            <w:tcW w:w="96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w:t>
            </w:r>
          </w:p>
        </w:tc>
        <w:tc>
          <w:tcPr>
            <w:tcW w:w="9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电话沟通</w:t>
            </w:r>
          </w:p>
        </w:tc>
        <w:tc>
          <w:tcPr>
            <w:tcW w:w="1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投资人</w:t>
            </w:r>
          </w:p>
        </w:tc>
        <w:tc>
          <w:tcPr>
            <w:tcW w:w="24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咨询公司股东大会计划</w:t>
            </w:r>
          </w:p>
        </w:tc>
        <w:tc>
          <w:tcPr>
            <w:tcW w:w="12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bl>
    <w:p>
      <w:pPr>
        <w:keepNext/>
        <w:keepLines/>
        <w:spacing w:before="300" w:after="300" w:line="320" w:lineRule="exact"/>
        <w:jc w:val="left"/>
        <w:outlineLvl w:val="1"/>
        <w:rPr>
          <w:rFonts w:ascii="宋体" w:hAnsi="宋体" w:eastAsia="宋体" w:cs="宋体"/>
          <w:b/>
          <w:bCs/>
          <w:sz w:val="24"/>
          <w:szCs w:val="24"/>
        </w:rPr>
      </w:pPr>
      <w:bookmarkStart w:id="53" w:name="_Toc988942"/>
      <w:r>
        <w:rPr>
          <w:rFonts w:ascii="宋体" w:hAnsi="宋体" w:eastAsia="宋体" w:cs="宋体"/>
          <w:b/>
          <w:bCs/>
          <w:sz w:val="24"/>
          <w:szCs w:val="24"/>
        </w:rPr>
        <w:t>十三、“质量回报双提升”行动方案贯彻落实情况</w:t>
      </w:r>
      <w:bookmarkEnd w:id="5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公司是否披露了“质量回报双提升”行动方案。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r>
        <w:br w:type="page"/>
      </w:r>
    </w:p>
    <w:p>
      <w:pPr>
        <w:keepNext/>
        <w:keepLines/>
        <w:spacing w:before="340" w:after="330" w:line="773" w:lineRule="exact"/>
        <w:jc w:val="center"/>
        <w:outlineLvl w:val="0"/>
        <w:rPr>
          <w:rFonts w:ascii="宋体" w:hAnsi="宋体" w:eastAsia="宋体" w:cs="宋体"/>
          <w:b/>
          <w:bCs/>
          <w:sz w:val="32"/>
          <w:szCs w:val="32"/>
        </w:rPr>
      </w:pPr>
      <w:bookmarkStart w:id="54" w:name="_Toc988943"/>
      <w:r>
        <w:rPr>
          <w:rFonts w:ascii="宋体" w:hAnsi="宋体" w:eastAsia="宋体" w:cs="宋体"/>
          <w:b/>
          <w:bCs/>
          <w:sz w:val="32"/>
          <w:szCs w:val="32"/>
        </w:rPr>
        <w:t>第四节 公司治理</w:t>
      </w:r>
      <w:bookmarkEnd w:id="54"/>
    </w:p>
    <w:p>
      <w:pPr>
        <w:keepNext/>
        <w:keepLines/>
        <w:spacing w:before="300" w:after="300" w:line="320" w:lineRule="exact"/>
        <w:jc w:val="left"/>
        <w:outlineLvl w:val="1"/>
        <w:rPr>
          <w:rFonts w:ascii="宋体" w:hAnsi="宋体" w:eastAsia="宋体" w:cs="宋体"/>
          <w:b/>
          <w:bCs/>
          <w:sz w:val="24"/>
          <w:szCs w:val="24"/>
        </w:rPr>
      </w:pPr>
      <w:bookmarkStart w:id="55" w:name="_Toc988944"/>
      <w:r>
        <w:rPr>
          <w:rFonts w:ascii="宋体" w:hAnsi="宋体" w:eastAsia="宋体" w:cs="宋体"/>
          <w:b/>
          <w:bCs/>
          <w:sz w:val="24"/>
          <w:szCs w:val="24"/>
        </w:rPr>
        <w:t>一、公司治理的基本状况</w:t>
      </w:r>
      <w:bookmarkEnd w:id="55"/>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报告期内，公司严格按照《公司法》《证券法》《深圳证券交易所股票上市规则》《深圳证券交易所上市公司自律监管指引第1号——主板上市公司规范运作》和其他相关法律、法规的有关规定，不断完善公司法人治理结构，健全内部控制体系。报告期内，公司运作规范、独立性强、信息披露规范，公司治理情况符合上市公司治理的规范性文件要求。公司治理的主要方面如下：</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1、关于股东与股东大会</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公司股东大会召集、召开程序、提案审议程序、决策程序均符合《公司法》《公司章程》《股东大会议事规则》等有关规定和要求，能够公平对待所有股东，特别是保证中小股东，按其所持股份享有平等权利。公司严格执行《股东大会网络投票实施细则》，保证了全体股东对公司决策事项的参与权和表决权，充分行使自己的权利。历次股东大会均有律师到场见证，切实维护上市公司和全体股东的合法权益。公司还通过互动易、官网的投资者关系专栏、电话等形式与中小股东进行沟通交流，保证了与中小股东信息交流的畅通和公平性，并充分听取中小股东的诉求与建议。报告期内，公司董事会召集、召开了2022年年度股东大会及2次临时股东大会，根据法律法规、《公司章程》《股东大会议事规则》的规定行使职权，形成有效决议。</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2、关于董事与董事会</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报告期内公司董事会成员9名，其中独立董事3名。董事会人数和人员结构符合相关法律法规与《公司章程》的要求。董事会下设战略委员会、审计委员会、薪酬与考核委员会3个专门委员会，各专门委员会严格遵守相关制度规定，各行其责，有力加强了公司董事会工作的规范运作，为董事会的决策提供专业意见和参考。报告期内，公司按照法律法规和《公司章程》《董事会议事规则》及专门委员会议事规则的规定，召开了董事会会议10次，董事会各专门委员会会议11次。会议的召集召开程序、提案审议程序、决策程序均符合相关规定；董事能够以认真负责的态度出席董事会，积极参加有关培训，熟悉相关法律法规，了解作为董事的权利、义务和责任；董事会成员具备合理的专业知识结构，在履行职责过程中能够勤勉尽责，维护公司整体利益；独立董事以公允</w:t>
      </w:r>
      <w:r>
        <w:rPr>
          <w:rFonts w:hint="eastAsia" w:ascii="宋体" w:hAnsi="宋体" w:cs="宋体"/>
          <w:sz w:val="21"/>
          <w:szCs w:val="21"/>
          <w:lang w:eastAsia="zh-CN"/>
        </w:rPr>
        <w:t>、</w:t>
      </w:r>
      <w:r>
        <w:rPr>
          <w:rFonts w:hint="eastAsia" w:ascii="宋体" w:hAnsi="宋体" w:eastAsia="宋体" w:cs="宋体"/>
          <w:sz w:val="21"/>
          <w:szCs w:val="21"/>
        </w:rPr>
        <w:t>勤勉</w:t>
      </w:r>
      <w:r>
        <w:rPr>
          <w:rFonts w:hint="eastAsia" w:ascii="宋体" w:hAnsi="宋体" w:cs="宋体"/>
          <w:sz w:val="21"/>
          <w:szCs w:val="21"/>
          <w:lang w:eastAsia="zh-CN"/>
        </w:rPr>
        <w:t>、</w:t>
      </w:r>
      <w:r>
        <w:rPr>
          <w:rFonts w:hint="eastAsia" w:ascii="宋体" w:hAnsi="宋体" w:eastAsia="宋体" w:cs="宋体"/>
          <w:sz w:val="21"/>
          <w:szCs w:val="21"/>
        </w:rPr>
        <w:t>尽责的态度，对相关事项发表了事前认可意见和独立意见，提升了董事会决策的科学性和公正性。</w:t>
      </w:r>
    </w:p>
    <w:p>
      <w:pPr>
        <w:pStyle w:val="8"/>
        <w:keepNext w:val="0"/>
        <w:keepLines w:val="0"/>
        <w:widowControl/>
        <w:suppressLineNumbers w:val="0"/>
        <w:spacing w:before="0" w:beforeAutospacing="0" w:after="0" w:afterAutospacing="0" w:line="360" w:lineRule="auto"/>
        <w:ind w:left="0" w:right="0" w:firstLine="420"/>
        <w:jc w:val="left"/>
        <w:rPr>
          <w:rFonts w:hint="default" w:ascii="Times New Roman" w:hAnsi="Times New Roman" w:cs="Times New Roman"/>
          <w:sz w:val="21"/>
          <w:szCs w:val="21"/>
        </w:rPr>
      </w:pPr>
      <w:r>
        <w:rPr>
          <w:rFonts w:hint="eastAsia" w:ascii="宋体" w:hAnsi="宋体" w:eastAsia="宋体" w:cs="宋体"/>
          <w:sz w:val="21"/>
          <w:szCs w:val="21"/>
        </w:rPr>
        <w:t>3、关于监事与监事会</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报告期内公司监事会由5名监事组成，其中职工代表监事2名，监事会的人数与人员符合法律法规与《公司章程》的要求。报告期内，公司按照有关法律法规和《公司章程》《监事会议事规则》规定，召开了监事会会议3次。监事对公司经营运作、财务状况以及公司董事、高级管理人员履行职责的合法合规性进行监督，维护了公司及股东的合法权益。</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4、关于高级管理人员</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公司高级管理人员职责清晰，能够严格按照《公司章程》《总经理工作细则》等各项管理制度履行职责，勤勉尽责，切实贯彻、执行董事会的决议。</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5、关于信息披露与投资者关系管理</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公司严格按照《信息披露工作制度》的要求，指定公司董事会秘书负责信息披露工作、接待股东来访和咨询，严格按照有关规定真实、准确、完整、及时的披露有关信息。报告期内，公司指定了《证券时报》和巨潮资讯网为公司指定的信息披露报纸和网站，确保公司所有股东能以平等的机会获得信息。</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6、关于控股股东和上市公司的关系</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控股股东通过股东大会依法行使出资人的权利，没有采取任何其他方式直接或间接地干预公司的决策和经营活动，没有发生占用上市公司资金的情况；公司与控股股东在资产、财务、人员、机构和业务方面做到了“五分开”；公司董事会、监事会和内部管理机构能够独立运作，确保按照规范的程序做出公司的重大决策。</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7、绩效评价和激励约束机制</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公司逐步建立和完善公开、透明的董事、监事和高级管理人员的绩效评价标准和激励约束机制，公司高级管理人员的聘任公开、透明，符合法律法规的规定。</w:t>
      </w:r>
    </w:p>
    <w:p>
      <w:pPr>
        <w:pStyle w:val="8"/>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8、关于利益相关者</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公司在追求经济效益、保护股东利益的同时，能够充分尊重和维护利益相关者的合法权益，与利益相关者进行有效的交流与合作。公司注重员工权益保护，支持职工代表大会、工会组织依法行使职权。报告期内，公司培养人才，重视社会责任，关注福利、环保、志愿服务等社会公益事业，实现经济效益的同时，也取得了良好的社会效益。截止报告期末，公司治理状况符合有关上市公司治理的规范性文件的要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公司治理的实际状况与法律、行政法规和中国证监会发布的关于上市公司治理的规定是否存在重大差异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公司治理的实际状况与法律、行政法规和中国证监会发布的关于上市公司治理的规定不存在重大差异。</w:t>
      </w:r>
    </w:p>
    <w:p>
      <w:pPr>
        <w:keepNext/>
        <w:keepLines/>
        <w:spacing w:before="300" w:after="300" w:line="320" w:lineRule="exact"/>
        <w:jc w:val="left"/>
        <w:outlineLvl w:val="1"/>
        <w:rPr>
          <w:rFonts w:ascii="宋体" w:hAnsi="宋体" w:eastAsia="宋体" w:cs="宋体"/>
          <w:b/>
          <w:bCs/>
          <w:sz w:val="24"/>
          <w:szCs w:val="24"/>
        </w:rPr>
      </w:pPr>
      <w:bookmarkStart w:id="56" w:name="_Toc988945"/>
      <w:r>
        <w:rPr>
          <w:rFonts w:ascii="宋体" w:hAnsi="宋体" w:eastAsia="宋体" w:cs="宋体"/>
          <w:b/>
          <w:bCs/>
          <w:sz w:val="24"/>
          <w:szCs w:val="24"/>
        </w:rPr>
        <w:t>二、公司相对于控股股东、实际控制人在保证公司资产、人员、财务、机构、业务等方面的独立情况</w:t>
      </w:r>
      <w:bookmarkEnd w:id="56"/>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公司与控股股东在业务、人员、资产、机构、财务等方面都已经分开，具有独立完整的业务及自主经营能力。</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1、业务方面：本公司为独立的法人主体。在业务方面完全独立于控股股东，具有独立完整的业务系统和自主经营的能力。公司具有独立的经营、服务系统，有自己的主导产业，本公司与控股股东及关联方不存在同业竞争。</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2、人员方面：本公司在劳动、人事和工资管理等方面完全独立运作并制定了独立的管理制度；公司总经理、副总经理、财务总监、董事会秘书等高管人员在本公司任职期间均在本公司工作并领取酬薪，未在股东单位担任任何职务。公司董事、监事及高级管理人员均严格按照《公司法》《公司章程》及股东大会、董事会及监事会的议事规则等相关法律法规的要求和程序产生。</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3、资产方面：本公司独立、完整地拥有与经营有关的业务体系及相关资产，对资产独立登记、建账、核算、管理，资产独立于控股股东及其控制的其他企业。</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4、财务方面：公司设立了独立的财务会计部门，建立了一整套完整的会计体系和财务管理制度；不存在控股股东干预公司资金运作的情况；公司开设了独立的银行帐户，不存在资金存入大股东或其他关联方控制的财务公司或结算中心账户的情况；公司没有与控股股东及其控制的其他企业共用银行账户；本公司依法独立纳税。</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5、机构方面：公司的董事会、监事会及其他内部机构独立运作，公司的全部机构是根据上市公司规范要求及公司实际业务特点的需要设置，公司有独立的办公地址。</w:t>
      </w:r>
    </w:p>
    <w:p>
      <w:pPr>
        <w:keepNext/>
        <w:keepLines/>
        <w:spacing w:before="300" w:after="300" w:line="320" w:lineRule="exact"/>
        <w:jc w:val="left"/>
        <w:outlineLvl w:val="1"/>
        <w:rPr>
          <w:rFonts w:ascii="宋体" w:hAnsi="宋体" w:eastAsia="宋体" w:cs="宋体"/>
          <w:b/>
          <w:bCs/>
          <w:sz w:val="24"/>
          <w:szCs w:val="24"/>
        </w:rPr>
      </w:pPr>
      <w:bookmarkStart w:id="57" w:name="_Toc988946"/>
      <w:r>
        <w:rPr>
          <w:rFonts w:ascii="宋体" w:hAnsi="宋体" w:eastAsia="宋体" w:cs="宋体"/>
          <w:b/>
          <w:bCs/>
          <w:sz w:val="24"/>
          <w:szCs w:val="24"/>
        </w:rPr>
        <w:t>三、同业竞争情况</w:t>
      </w:r>
      <w:bookmarkEnd w:id="57"/>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8" w:name="_Toc988947"/>
      <w:r>
        <w:rPr>
          <w:rFonts w:ascii="宋体" w:hAnsi="宋体" w:eastAsia="宋体" w:cs="宋体"/>
          <w:b/>
          <w:bCs/>
          <w:sz w:val="24"/>
          <w:szCs w:val="24"/>
        </w:rPr>
        <w:t>四、报告期内召开的年度股东大会和临时股东大会的有关情况</w:t>
      </w:r>
      <w:bookmarkEnd w:id="58"/>
    </w:p>
    <w:p>
      <w:pPr>
        <w:keepNext/>
        <w:keepLines/>
        <w:spacing w:before="300" w:after="300" w:line="280" w:lineRule="exact"/>
        <w:jc w:val="left"/>
        <w:outlineLvl w:val="2"/>
        <w:rPr>
          <w:rFonts w:ascii="宋体" w:hAnsi="宋体" w:eastAsia="宋体" w:cs="宋体"/>
          <w:b/>
          <w:bCs/>
          <w:sz w:val="21"/>
          <w:szCs w:val="21"/>
        </w:rPr>
      </w:pPr>
      <w:bookmarkStart w:id="59" w:name="_Toc988948"/>
      <w:r>
        <w:rPr>
          <w:rFonts w:ascii="宋体" w:hAnsi="宋体" w:eastAsia="宋体" w:cs="宋体"/>
          <w:b/>
          <w:bCs/>
          <w:sz w:val="21"/>
          <w:szCs w:val="21"/>
        </w:rPr>
        <w:t>1、本报告期股东大会情况</w:t>
      </w:r>
      <w:bookmarkEnd w:id="59"/>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98"/>
        <w:gridCol w:w="992"/>
        <w:gridCol w:w="1117"/>
        <w:gridCol w:w="1041"/>
        <w:gridCol w:w="1100"/>
        <w:gridCol w:w="38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会议届次</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会议类型</w:t>
            </w:r>
          </w:p>
        </w:tc>
        <w:tc>
          <w:tcPr>
            <w:tcW w:w="11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投资者参与比例</w:t>
            </w:r>
          </w:p>
        </w:tc>
        <w:tc>
          <w:tcPr>
            <w:tcW w:w="10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11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388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2022年年度股东大会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年度股东大会</w:t>
            </w:r>
          </w:p>
        </w:tc>
        <w:tc>
          <w:tcPr>
            <w:tcW w:w="11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55.92%</w:t>
            </w:r>
          </w:p>
        </w:tc>
        <w:tc>
          <w:tcPr>
            <w:tcW w:w="10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2023年05月18日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2023年05月19日</w:t>
            </w:r>
          </w:p>
        </w:tc>
        <w:tc>
          <w:tcPr>
            <w:tcW w:w="38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详见《证券时报》和巨潮资讯网（www.cninfo.com.cn）《2022年年度股东大会决议公告》（公告编号：2023-025）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2023年第一次临时股东大会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1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56.30%</w:t>
            </w:r>
          </w:p>
        </w:tc>
        <w:tc>
          <w:tcPr>
            <w:tcW w:w="10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2023年02月21日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2023年02月22日</w:t>
            </w:r>
          </w:p>
        </w:tc>
        <w:tc>
          <w:tcPr>
            <w:tcW w:w="38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详见《证券时报》和巨潮资讯网（www.cninfo.com.cn）《2023年第一次临时股东大会决议公告》（公告编号：2023-009）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2023年第二次临时股东大会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1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52.91%</w:t>
            </w:r>
          </w:p>
        </w:tc>
        <w:tc>
          <w:tcPr>
            <w:tcW w:w="10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2023年10月12日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2023年10月13日</w:t>
            </w:r>
          </w:p>
        </w:tc>
        <w:tc>
          <w:tcPr>
            <w:tcW w:w="38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详见《证券时报》和巨潮资讯网（www.cninfo.com.cn）《2023年第二次临时股东大会决议公告》（公告编号：2023-043）</w:t>
            </w:r>
          </w:p>
        </w:tc>
      </w:tr>
    </w:tbl>
    <w:p>
      <w:pPr>
        <w:keepNext/>
        <w:keepLines/>
        <w:spacing w:before="300" w:after="300" w:line="280" w:lineRule="exact"/>
        <w:jc w:val="left"/>
        <w:outlineLvl w:val="2"/>
        <w:rPr>
          <w:rFonts w:ascii="宋体" w:hAnsi="宋体" w:eastAsia="宋体" w:cs="宋体"/>
          <w:b/>
          <w:bCs/>
          <w:sz w:val="21"/>
          <w:szCs w:val="21"/>
        </w:rPr>
      </w:pPr>
      <w:bookmarkStart w:id="60" w:name="_Toc988949"/>
      <w:r>
        <w:rPr>
          <w:rFonts w:ascii="宋体" w:hAnsi="宋体" w:eastAsia="宋体" w:cs="宋体"/>
          <w:b/>
          <w:bCs/>
          <w:sz w:val="21"/>
          <w:szCs w:val="21"/>
        </w:rPr>
        <w:t>2、表决权恢复的优先股股东请求召开临时股东大会</w:t>
      </w:r>
      <w:bookmarkEnd w:id="6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pageBreakBefore w:val="0"/>
        <w:widowControl w:val="0"/>
        <w:kinsoku/>
        <w:wordWrap/>
        <w:overflowPunct/>
        <w:topLinePunct w:val="0"/>
        <w:autoSpaceDE/>
        <w:autoSpaceDN/>
        <w:bidi w:val="0"/>
        <w:adjustRightInd/>
        <w:snapToGrid/>
        <w:spacing w:before="300" w:after="120" w:line="320" w:lineRule="exact"/>
        <w:jc w:val="left"/>
        <w:textAlignment w:val="auto"/>
        <w:outlineLvl w:val="1"/>
        <w:rPr>
          <w:rFonts w:ascii="宋体" w:hAnsi="宋体" w:eastAsia="宋体" w:cs="宋体"/>
          <w:b/>
          <w:bCs/>
          <w:sz w:val="24"/>
          <w:szCs w:val="24"/>
        </w:rPr>
      </w:pPr>
      <w:bookmarkStart w:id="61" w:name="_Toc988950"/>
      <w:r>
        <w:rPr>
          <w:rFonts w:ascii="宋体" w:hAnsi="宋体" w:eastAsia="宋体" w:cs="宋体"/>
          <w:b/>
          <w:bCs/>
          <w:sz w:val="24"/>
          <w:szCs w:val="24"/>
        </w:rPr>
        <w:t>五、董事、监事和高级管理人员情况</w:t>
      </w:r>
      <w:bookmarkEnd w:id="61"/>
    </w:p>
    <w:p>
      <w:pPr>
        <w:keepNext/>
        <w:keepLines/>
        <w:pageBreakBefore w:val="0"/>
        <w:widowControl w:val="0"/>
        <w:kinsoku/>
        <w:wordWrap/>
        <w:overflowPunct/>
        <w:topLinePunct w:val="0"/>
        <w:autoSpaceDE/>
        <w:autoSpaceDN/>
        <w:bidi w:val="0"/>
        <w:adjustRightInd/>
        <w:snapToGrid/>
        <w:spacing w:before="20" w:after="20" w:line="280" w:lineRule="exact"/>
        <w:jc w:val="left"/>
        <w:textAlignment w:val="auto"/>
        <w:outlineLvl w:val="2"/>
        <w:rPr>
          <w:rFonts w:ascii="宋体" w:hAnsi="宋体" w:eastAsia="宋体" w:cs="宋体"/>
          <w:b/>
          <w:bCs/>
          <w:sz w:val="21"/>
          <w:szCs w:val="21"/>
        </w:rPr>
      </w:pPr>
      <w:bookmarkStart w:id="62" w:name="_Toc988951"/>
      <w:r>
        <w:rPr>
          <w:rFonts w:ascii="宋体" w:hAnsi="宋体" w:eastAsia="宋体" w:cs="宋体"/>
          <w:b/>
          <w:bCs/>
          <w:sz w:val="21"/>
          <w:szCs w:val="21"/>
        </w:rPr>
        <w:t>1、基本情况</w:t>
      </w:r>
      <w:bookmarkEnd w:id="62"/>
    </w:p>
    <w:tbl>
      <w:tblPr>
        <w:tblStyle w:val="9"/>
        <w:tblW w:w="1020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72"/>
        <w:gridCol w:w="417"/>
        <w:gridCol w:w="467"/>
        <w:gridCol w:w="775"/>
        <w:gridCol w:w="583"/>
        <w:gridCol w:w="1042"/>
        <w:gridCol w:w="1100"/>
        <w:gridCol w:w="816"/>
        <w:gridCol w:w="925"/>
        <w:gridCol w:w="900"/>
        <w:gridCol w:w="809"/>
        <w:gridCol w:w="758"/>
        <w:gridCol w:w="8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性别</w:t>
            </w:r>
          </w:p>
        </w:tc>
        <w:tc>
          <w:tcPr>
            <w:tcW w:w="4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年龄</w:t>
            </w:r>
          </w:p>
        </w:tc>
        <w:tc>
          <w:tcPr>
            <w:tcW w:w="7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5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任职状态</w:t>
            </w:r>
          </w:p>
        </w:tc>
        <w:tc>
          <w:tcPr>
            <w:tcW w:w="1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11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8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期初持股数（股）</w:t>
            </w:r>
          </w:p>
        </w:tc>
        <w:tc>
          <w:tcPr>
            <w:tcW w:w="9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本期增持股份数量（股）</w:t>
            </w:r>
          </w:p>
        </w:tc>
        <w:tc>
          <w:tcPr>
            <w:tcW w:w="9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本期减持股份数量（股）</w:t>
            </w:r>
          </w:p>
        </w:tc>
        <w:tc>
          <w:tcPr>
            <w:tcW w:w="8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其他增减变动（股）</w:t>
            </w:r>
          </w:p>
        </w:tc>
        <w:tc>
          <w:tcPr>
            <w:tcW w:w="7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期末持股数（股）</w:t>
            </w:r>
          </w:p>
        </w:tc>
        <w:tc>
          <w:tcPr>
            <w:tcW w:w="8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股份增减变动的原因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2021年09月13日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2022年04月29日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黄亮</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2022年09月15日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417"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w:t>
            </w:r>
          </w:p>
        </w:tc>
        <w:tc>
          <w:tcPr>
            <w:tcW w:w="775"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2023年10月12日</w:t>
            </w:r>
          </w:p>
        </w:tc>
        <w:tc>
          <w:tcPr>
            <w:tcW w:w="1100"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4"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41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583"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2023年08月02日</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胡玉明</w:t>
            </w:r>
          </w:p>
        </w:tc>
        <w:tc>
          <w:tcPr>
            <w:tcW w:w="41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583"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2018年01月04日</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江定航</w:t>
            </w:r>
          </w:p>
        </w:tc>
        <w:tc>
          <w:tcPr>
            <w:tcW w:w="41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583"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张栋</w:t>
            </w:r>
          </w:p>
        </w:tc>
        <w:tc>
          <w:tcPr>
            <w:tcW w:w="41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583"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4" w:space="0"/>
              <w:left w:val="single" w:color="auto" w:sz="4" w:space="0"/>
              <w:bottom w:val="single" w:color="auto" w:sz="4" w:space="0"/>
              <w:right w:val="single" w:color="auto" w:sz="4"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郭晓东</w:t>
            </w:r>
          </w:p>
        </w:tc>
        <w:tc>
          <w:tcPr>
            <w:tcW w:w="417"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w:t>
            </w:r>
          </w:p>
        </w:tc>
        <w:tc>
          <w:tcPr>
            <w:tcW w:w="775"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监事会主席</w:t>
            </w:r>
          </w:p>
        </w:tc>
        <w:tc>
          <w:tcPr>
            <w:tcW w:w="583"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4"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w:t>
            </w:r>
            <w:r>
              <w:rPr>
                <w:rFonts w:hint="eastAsia" w:ascii="宋体" w:hAnsi="宋体" w:cs="宋体"/>
                <w:sz w:val="18"/>
                <w:szCs w:val="18"/>
                <w:lang w:val="en-US" w:eastAsia="zh-CN"/>
              </w:rPr>
              <w:t>8</w:t>
            </w:r>
            <w:r>
              <w:rPr>
                <w:rFonts w:ascii="宋体" w:hAnsi="宋体" w:eastAsia="宋体" w:cs="宋体"/>
                <w:sz w:val="18"/>
                <w:szCs w:val="18"/>
              </w:rPr>
              <w:t>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w:t>
            </w:r>
            <w:r>
              <w:rPr>
                <w:rFonts w:hint="eastAsia" w:ascii="宋体" w:hAnsi="宋体" w:cs="宋体"/>
                <w:sz w:val="18"/>
                <w:szCs w:val="18"/>
                <w:lang w:val="en-US" w:eastAsia="zh-CN"/>
              </w:rPr>
              <w:t>8</w:t>
            </w:r>
            <w:r>
              <w:rPr>
                <w:rFonts w:ascii="宋体" w:hAnsi="宋体" w:eastAsia="宋体" w:cs="宋体"/>
                <w:sz w:val="18"/>
                <w:szCs w:val="18"/>
              </w:rPr>
              <w:t>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刘海澄</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张正</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谭忠</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党委副书记</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2018年09月07日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谢旌</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2018年10月25日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祁鹏</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2021年09月29日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祁鹏</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董事会秘书</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2015年12月28日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2024年09月12日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吴锐楷</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总经理</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2021年09月13日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2023年11月07日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吴锐楷</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2021年09月13日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2023年11月07日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娄红</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2018年01月04日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2023年08月03日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娄红</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2018年02月27日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2023年08月03日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张保军</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2021年09月13日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2023年04月21日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曾星宇</w:t>
            </w:r>
          </w:p>
        </w:tc>
        <w:tc>
          <w:tcPr>
            <w:tcW w:w="4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4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5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0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2021年09月13日</w:t>
            </w:r>
          </w:p>
        </w:tc>
        <w:tc>
          <w:tcPr>
            <w:tcW w:w="11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2023年04月21日</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7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4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0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1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报告期是否存在任期内董事、监事离任和高级管理人员解聘的情况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公司原监事张保军先生、曾星宇先生因工作安排申请辞去公司第十届监事会监事职务，详见公司2023年4月21日刊载于《证券时报》及巨潮资讯网（</w:t>
      </w:r>
      <w:r>
        <w:rPr>
          <w:rFonts w:hint="default" w:ascii="宋体" w:hAnsi="宋体" w:eastAsia="宋体" w:cs="宋体"/>
          <w:sz w:val="21"/>
          <w:szCs w:val="21"/>
        </w:rPr>
        <w:fldChar w:fldCharType="begin"/>
      </w:r>
      <w:r>
        <w:rPr>
          <w:rFonts w:hint="default" w:ascii="宋体" w:hAnsi="宋体" w:eastAsia="宋体" w:cs="宋体"/>
          <w:sz w:val="21"/>
          <w:szCs w:val="21"/>
        </w:rPr>
        <w:instrText xml:space="preserve"> HYPERLINK "www.cninfo.com.cn" </w:instrText>
      </w:r>
      <w:r>
        <w:rPr>
          <w:rFonts w:hint="default" w:ascii="宋体" w:hAnsi="宋体" w:eastAsia="宋体" w:cs="宋体"/>
          <w:sz w:val="21"/>
          <w:szCs w:val="21"/>
        </w:rPr>
        <w:fldChar w:fldCharType="separate"/>
      </w:r>
      <w:r>
        <w:rPr>
          <w:rFonts w:hint="default" w:ascii="宋体" w:hAnsi="宋体" w:eastAsia="宋体" w:cs="宋体"/>
          <w:sz w:val="21"/>
          <w:szCs w:val="21"/>
        </w:rPr>
        <w:t>www.cninfo.com.cn</w:t>
      </w:r>
      <w:r>
        <w:rPr>
          <w:rFonts w:hint="default" w:ascii="宋体" w:hAnsi="宋体" w:eastAsia="宋体" w:cs="宋体"/>
          <w:sz w:val="21"/>
          <w:szCs w:val="21"/>
        </w:rPr>
        <w:fldChar w:fldCharType="end"/>
      </w:r>
      <w:r>
        <w:rPr>
          <w:rFonts w:hint="default" w:ascii="宋体" w:hAnsi="宋体" w:eastAsia="宋体" w:cs="宋体"/>
          <w:sz w:val="21"/>
          <w:szCs w:val="21"/>
        </w:rPr>
        <w:t>）《关于公司监事辞职的公告》（公告编号：2023-013）。</w:t>
      </w:r>
      <w:r>
        <w:rPr>
          <w:rFonts w:hint="default" w:ascii="宋体" w:hAnsi="宋体" w:eastAsia="宋体" w:cs="宋体"/>
          <w:sz w:val="21"/>
          <w:szCs w:val="21"/>
        </w:rPr>
        <w:br w:type="textWrapping"/>
      </w:r>
      <w:r>
        <w:rPr>
          <w:rFonts w:hint="eastAsia" w:ascii="宋体" w:hAnsi="宋体" w:cs="宋体"/>
          <w:sz w:val="21"/>
          <w:szCs w:val="21"/>
          <w:lang w:val="en-US" w:eastAsia="zh-CN"/>
        </w:rPr>
        <w:t xml:space="preserve">    </w:t>
      </w:r>
      <w:r>
        <w:rPr>
          <w:rFonts w:hint="default" w:ascii="宋体" w:hAnsi="宋体" w:eastAsia="宋体" w:cs="宋体"/>
          <w:sz w:val="21"/>
          <w:szCs w:val="21"/>
        </w:rPr>
        <w:t>公司原董事兼财务总监娄红女士因个人原因申请辞去公司十届董事会董事、财务总监、审计委员会委员职务，详见公司2023年8月3日刊载于《证券时报》及巨潮资讯网（</w:t>
      </w:r>
      <w:r>
        <w:rPr>
          <w:rFonts w:hint="default" w:ascii="宋体" w:hAnsi="宋体" w:eastAsia="宋体" w:cs="宋体"/>
          <w:sz w:val="21"/>
          <w:szCs w:val="21"/>
        </w:rPr>
        <w:fldChar w:fldCharType="begin"/>
      </w:r>
      <w:r>
        <w:rPr>
          <w:rFonts w:hint="default" w:ascii="宋体" w:hAnsi="宋体" w:eastAsia="宋体" w:cs="宋体"/>
          <w:sz w:val="21"/>
          <w:szCs w:val="21"/>
        </w:rPr>
        <w:instrText xml:space="preserve"> HYPERLINK "www.cninfo.com.cn" </w:instrText>
      </w:r>
      <w:r>
        <w:rPr>
          <w:rFonts w:hint="default" w:ascii="宋体" w:hAnsi="宋体" w:eastAsia="宋体" w:cs="宋体"/>
          <w:sz w:val="21"/>
          <w:szCs w:val="21"/>
        </w:rPr>
        <w:fldChar w:fldCharType="separate"/>
      </w:r>
      <w:r>
        <w:rPr>
          <w:rFonts w:hint="default" w:ascii="宋体" w:hAnsi="宋体" w:eastAsia="宋体" w:cs="宋体"/>
          <w:sz w:val="21"/>
          <w:szCs w:val="21"/>
        </w:rPr>
        <w:t>www.cninfo.com.cn</w:t>
      </w:r>
      <w:r>
        <w:rPr>
          <w:rFonts w:hint="default" w:ascii="宋体" w:hAnsi="宋体" w:eastAsia="宋体" w:cs="宋体"/>
          <w:sz w:val="21"/>
          <w:szCs w:val="21"/>
        </w:rPr>
        <w:fldChar w:fldCharType="end"/>
      </w:r>
      <w:r>
        <w:rPr>
          <w:rFonts w:hint="default" w:ascii="宋体" w:hAnsi="宋体" w:eastAsia="宋体" w:cs="宋体"/>
          <w:sz w:val="21"/>
          <w:szCs w:val="21"/>
        </w:rPr>
        <w:t>）《关于公司董事、财务总监辞职以及聘任财务总监、补选董事的公告》（公告编号：2023-036）。</w:t>
      </w:r>
      <w:r>
        <w:rPr>
          <w:rFonts w:hint="default" w:ascii="宋体" w:hAnsi="宋体" w:eastAsia="宋体" w:cs="宋体"/>
          <w:sz w:val="21"/>
          <w:szCs w:val="21"/>
        </w:rPr>
        <w:br w:type="textWrapping"/>
      </w:r>
      <w:r>
        <w:rPr>
          <w:rFonts w:hint="eastAsia" w:ascii="宋体" w:hAnsi="宋体" w:cs="宋体"/>
          <w:sz w:val="21"/>
          <w:szCs w:val="21"/>
          <w:lang w:val="en-US" w:eastAsia="zh-CN"/>
        </w:rPr>
        <w:t xml:space="preserve">    </w:t>
      </w:r>
      <w:r>
        <w:rPr>
          <w:rFonts w:hint="default" w:ascii="宋体" w:hAnsi="宋体" w:eastAsia="宋体" w:cs="宋体"/>
          <w:sz w:val="21"/>
          <w:szCs w:val="21"/>
        </w:rPr>
        <w:t>公司原董事兼总经理吴锐楷先生因工作安排申请辞去公司十届董事会董事、总经理及董事会战略委员会委员职务，详见公司2023年11月7日刊载于《证券时报》及巨潮资讯网（</w:t>
      </w:r>
      <w:r>
        <w:rPr>
          <w:rFonts w:hint="default" w:ascii="宋体" w:hAnsi="宋体" w:eastAsia="宋体" w:cs="宋体"/>
          <w:sz w:val="21"/>
          <w:szCs w:val="21"/>
        </w:rPr>
        <w:fldChar w:fldCharType="begin"/>
      </w:r>
      <w:r>
        <w:rPr>
          <w:rFonts w:hint="default" w:ascii="宋体" w:hAnsi="宋体" w:eastAsia="宋体" w:cs="宋体"/>
          <w:sz w:val="21"/>
          <w:szCs w:val="21"/>
        </w:rPr>
        <w:instrText xml:space="preserve"> HYPERLINK "www.cninfo.com.cn" </w:instrText>
      </w:r>
      <w:r>
        <w:rPr>
          <w:rFonts w:hint="default" w:ascii="宋体" w:hAnsi="宋体" w:eastAsia="宋体" w:cs="宋体"/>
          <w:sz w:val="21"/>
          <w:szCs w:val="21"/>
        </w:rPr>
        <w:fldChar w:fldCharType="separate"/>
      </w:r>
      <w:r>
        <w:rPr>
          <w:rFonts w:hint="default" w:ascii="宋体" w:hAnsi="宋体" w:eastAsia="宋体" w:cs="宋体"/>
          <w:sz w:val="21"/>
          <w:szCs w:val="21"/>
        </w:rPr>
        <w:t>www.cninfo.com.cn</w:t>
      </w:r>
      <w:r>
        <w:rPr>
          <w:rFonts w:hint="default" w:ascii="宋体" w:hAnsi="宋体" w:eastAsia="宋体" w:cs="宋体"/>
          <w:sz w:val="21"/>
          <w:szCs w:val="21"/>
        </w:rPr>
        <w:fldChar w:fldCharType="end"/>
      </w:r>
      <w:r>
        <w:rPr>
          <w:rFonts w:hint="default" w:ascii="宋体" w:hAnsi="宋体" w:eastAsia="宋体" w:cs="宋体"/>
          <w:sz w:val="21"/>
          <w:szCs w:val="21"/>
        </w:rPr>
        <w:t>）《关于公司董事、总经理辞职的公告》（公告编号：2023-045）。</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公司董事、监事、高级管理人员变动情况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4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92"/>
        <w:gridCol w:w="1742"/>
        <w:gridCol w:w="850"/>
        <w:gridCol w:w="1858"/>
        <w:gridCol w:w="41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17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担任的职务</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类型</w:t>
            </w:r>
          </w:p>
        </w:tc>
        <w:tc>
          <w:tcPr>
            <w:tcW w:w="18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日期</w:t>
            </w:r>
          </w:p>
        </w:tc>
        <w:tc>
          <w:tcPr>
            <w:tcW w:w="41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张保军</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2023年04月21日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因工作安排辞去监事职务。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曾星宇</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2023年04月21日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因工作安排辞去监事职务。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娄红</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董事、财务总监、审计委员会委员</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2023年08月03日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因个人原因辞去董事、财务总监职务。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吴锐楷</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董事兼总经理</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2023年11月07日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因工作安排辞去董事、总经理及董事会战略委员会委员职务。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被选举</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2023年05月18日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经公司十届监事会第七次会议以及2022年年度股东大会选举为公司十届监事会监事。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被选举</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2023年05月18日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经公司十届监事会第七次会议以及2022年年度股东大会选举为公司十届监事会监事。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被选举</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2023年08月02日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经公司十届董事会第十一次临时会议选举为公司财务总监。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17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被选举</w:t>
            </w:r>
          </w:p>
        </w:tc>
        <w:tc>
          <w:tcPr>
            <w:tcW w:w="18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2023年10月12日</w:t>
            </w:r>
          </w:p>
        </w:tc>
        <w:tc>
          <w:tcPr>
            <w:tcW w:w="4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经公司十届董事会第十一次临时会议以及2023年第二次临时股东大会选举为公司十届董事会董事。</w:t>
            </w:r>
          </w:p>
        </w:tc>
      </w:tr>
    </w:tbl>
    <w:p>
      <w:pPr>
        <w:keepNext/>
        <w:keepLines/>
        <w:spacing w:before="300" w:after="300" w:line="280" w:lineRule="exact"/>
        <w:jc w:val="left"/>
        <w:outlineLvl w:val="2"/>
        <w:rPr>
          <w:rFonts w:ascii="宋体" w:hAnsi="宋体" w:eastAsia="宋体" w:cs="宋体"/>
          <w:b/>
          <w:bCs/>
          <w:sz w:val="21"/>
          <w:szCs w:val="21"/>
        </w:rPr>
      </w:pPr>
      <w:bookmarkStart w:id="63" w:name="_Toc988952"/>
      <w:r>
        <w:rPr>
          <w:rFonts w:ascii="宋体" w:hAnsi="宋体" w:eastAsia="宋体" w:cs="宋体"/>
          <w:b/>
          <w:bCs/>
          <w:sz w:val="21"/>
          <w:szCs w:val="21"/>
        </w:rPr>
        <w:t>2、任职情况</w:t>
      </w:r>
      <w:bookmarkEnd w:id="6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公司现任董事、监事、高级管理人员专业背景、主要工作经历以及目前在公司的主要职责</w:t>
      </w:r>
    </w:p>
    <w:tbl>
      <w:tblPr>
        <w:tblStyle w:val="9"/>
        <w:tblW w:w="96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15" w:type="dxa"/>
          <w:left w:w="15" w:type="dxa"/>
          <w:bottom w:w="15" w:type="dxa"/>
          <w:right w:w="15" w:type="dxa"/>
        </w:tblCellMar>
      </w:tblPr>
      <w:tblGrid>
        <w:gridCol w:w="917"/>
        <w:gridCol w:w="87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姓名</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主要工作经历和任职情况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富春龙</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1973年出生，硕士，高级人力资源管理师。曾任深圳市特发华通包装有限公司工作组副组长，深圳市特发集团有限公司人力资源部业务副经理、业务经理、副部长、部长，深圳市特发集团有限公司副总裁，深圳市国有免税商品（集团）有限公司监事，本公司监事等职。现任本公司党委书记、董事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洪文亚</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1974 年出生，硕士，高级会计师、注册会计师、国际注册内审师（CIA）。曾任国信证券股份有限公司营业部财务经理、监察稽核总部审计经理，深圳市建筑科学研究院股份有限公司财务总监，深圳市远致投资公司财务部副部长，国资委统计预算处市属国企预算管理与财务监督，深圳市鲲鹏股权投资管理有限公司财务部副部长、合规风控部部长。现任深圳市特发集团有限公司党委委员、董事、财务总监，本公司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杨喜</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1981年出生，硕士研究生。历任深圳中航集团深南电路有限公司工程师，深圳市特发信息股份有限公司董事会秘书处业务经理，盐田港股份有限公司资产经营管理部高级主管，深圳市洲明科技股份有限公司董事会秘书，深圳市特发集团有限公司董事会秘书办公室资本运作经理、战略投资部资本运作经理、战略投资部副总经理。现任深圳市特发集团有限公司战略投资部总经理，本公司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黄亮</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1987年出生，本科学历，经济学学士。持有深交所董事会秘书资格证书、证券从业人员资格证书。先后就职于深圳市南山区安全生产监督管理局、深圳市奇信建设集团股份有限公司、香港力同国际控股集团、中国宝安集团股份有限公司。2017年5月加入深圳市特发集团有限公司，历任办公室文秘经理、文秘高级经理、副主任（主持工作）。现任深圳市特发集团有限公司办公室主任，本公司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黄田阳</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1983年12出生，管理学学士，非执业注册会计师、税务师，中级会计师 。历任天职国际会计师事务所深圳分所审计员，本公司财务部合并报表岗，深圳市特发集团有限公司财务管理部会计经理、会计高级经理、副总经理。现任本公司董事、财务总监。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胡玉明</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1965年出生，博士研究生，会计学教授。曾任厦门大学经济学院助教、讲师、副教授，暨南大学管理学院副教授、会计学系副主任、会计学系主任、暨南大学国际学院副院长、暨南大学管理学院副院长。现任暨南大学管理学院教授、博士生导师、汤臣倍健股份有限公司独立董事、本公司独立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江定航</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1963年出生，硕士，律师。曾任深圳市社保局法规咨询部部长、深圳市劳动局办公室副主任、深圳特发集团有限公司办公室主任、深圳特发松立公司董事长、深圳市通讯工业股份有限公司党支部书记、董事、总经理，广东中安律师事务所实习律师。现任上海市锦天城（深圳）律师事务所高级合伙人，本公司独立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张栋</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1974年出生，博士研究生，经济学博士后，正高级经济师，高级黄金投资分析师，GIA研究宝石学家。曾任深圳市强庄计算机技术有限公司副总经理、深圳市脑时代经济文化有限公司副总经理、香港领袖文化传媒有限公司社长助理、深圳市中饰广告有限公司总经理、黑龙江六桂福珠宝首饰有限责任公司总经理、六桂福珠宝首饰股份集团有限公司总裁。现任壹极炫珠宝（成都）有限公司董事长、本公司独立董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郭晓东</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1964年出生，硕士学位，高级经济师。曾任深圳市特发发展中心建设监理公司副总经理，深圳市特发发展中心物业管理公司董事、总经理，深圳市特发物业有限公司副总经理，深圳市特发地产有限公司监事会主席及深圳市特发小梅沙旅游发展有限公司监事会主席。现任本公司监事会主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戴志伟</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1976年1月出生，中共党员，研究生学历，注册会计师，会计师、经济师职称。曾任广东佳兆业佳云科技股份有限公司副总经理兼财务总监，深圳市特发地产有限公司财务部经理、战略运营部经理。现任深圳市特发集团有限公司财务管理部副总经理，本公司监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叶操</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1985年2月出生，中共党员，本科学历，中级会计师。曾任深圳市特发信息股份有限公司审计部负责人。现任深圳市特发集团有限公司审计风控部副总经理，本公司监事。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刘海澄</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1969年出生，硕士，高级工程师。曾任东风汽车车轮有限公司设计部职员、深圳东风汽车公司技术部职员、深圳汽车行业协会秘书处职员、本公司汽车事业部经营部职员、本公司经管部职员、副经理、经理，本公司董秘处主任。现任本公司珠宝产业管理事业部副总经理、职工代表监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张正</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1984年出生，本科学历，中级会计师，高级人力资源管理师。曾任中勤万信会计师事务所深圳分所高级审计员、深圳市特发集团有限公司计划财务部筹融资专员、本公司计划财务部副部长、审计部部长。现任本公司职工代表监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谭忠</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1968年出生，本科学历，具备律师资格证、企业法律顾问资格证。曾任深圳市汽车工业贸易总公司法律顾问、企管部副经理，本公司董秘处副主任、法律事务代表、企管部经理，深圳特发华日汽车企业有限公司总经理、党总支书记。现任本公司专职党委副书记、工会主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谢旌</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1965年出生，加拿大籍，本科毕业，工程学士学位，高级工程师，全国注册监理工程师。曾任湖南省轻工业设计院结构工程师，中国银行湖南省分行工程师，深圳市特发集团有限公司房地产部总经理助理、工程部经理，深圳市金成地产集团有限公司副总经理，深圳市嘉安达投资集团有限公司执行总裁，伟业控股有限公司土地储备中心总经理等职。现任本公司副总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jc w:val="center"/>
        </w:trPr>
        <w:tc>
          <w:tcPr>
            <w:tcW w:w="917" w:type="dxa"/>
            <w:tcBorders>
              <w:tl2br w:val="nil"/>
              <w:tr2bl w:val="nil"/>
            </w:tcBorders>
            <w:shd w:val="clear" w:color="auto" w:fill="auto"/>
            <w:tcMar>
              <w:top w:w="10" w:type="dxa"/>
              <w:left w:w="10" w:type="dxa"/>
              <w:bottom w:w="10" w:type="dxa"/>
              <w:right w:w="10" w:type="dxa"/>
            </w:tcMar>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eastAsia" w:ascii="宋体" w:hAnsi="宋体" w:eastAsia="宋体" w:cs="宋体"/>
                <w:sz w:val="18"/>
                <w:szCs w:val="18"/>
              </w:rPr>
              <w:t>祁鹏</w:t>
            </w:r>
          </w:p>
        </w:tc>
        <w:tc>
          <w:tcPr>
            <w:tcW w:w="8781" w:type="dxa"/>
            <w:tcBorders>
              <w:tl2br w:val="nil"/>
              <w:tr2bl w:val="nil"/>
            </w:tcBorders>
            <w:shd w:val="clear" w:color="auto" w:fill="auto"/>
            <w:tcMar>
              <w:top w:w="10" w:type="dxa"/>
              <w:left w:w="10" w:type="dxa"/>
              <w:bottom w:w="10" w:type="dxa"/>
              <w:right w:w="10" w:type="dxa"/>
            </w:tcMar>
            <w:vAlign w:val="top"/>
          </w:tcPr>
          <w:p>
            <w:pPr>
              <w:pStyle w:val="8"/>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18"/>
                <w:szCs w:val="18"/>
              </w:rPr>
              <w:t>1973年出生，硕士，经济师，已取得深交所董事会秘书任职资格证书。曾任深圳经济特区发展（集团）公司董事长秘书、信息中心负责人，深圳市特力（集团）股份有限公司董秘处副主任、企管部副经理、汽车事业部经营部经理，深圳特力汽车服务连锁有限公司总经理，深圳市特力新永通汽车发展有限公司总经理，深圳市特力（集团）股份有限公司董事会秘书处主任等职。现任深圳珠宝产业服务有限公司董事长、本公司副总经理、董事会秘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在股东单位任职情况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36"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65"/>
        <w:gridCol w:w="2080"/>
        <w:gridCol w:w="1870"/>
        <w:gridCol w:w="1750"/>
        <w:gridCol w:w="965"/>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任职人员姓名</w:t>
            </w:r>
          </w:p>
        </w:tc>
        <w:tc>
          <w:tcPr>
            <w:tcW w:w="20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股东单位名称</w:t>
            </w:r>
          </w:p>
        </w:tc>
        <w:tc>
          <w:tcPr>
            <w:tcW w:w="18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在股东单位担任的职务</w:t>
            </w:r>
          </w:p>
        </w:tc>
        <w:tc>
          <w:tcPr>
            <w:tcW w:w="17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9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在股东单位是否领取报酬津贴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2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党委委员、董事、财务总监</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2021年06月15日</w:t>
            </w:r>
          </w:p>
        </w:tc>
        <w:tc>
          <w:tcPr>
            <w:tcW w:w="9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2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战略投资部总经理</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2021年12月06日</w:t>
            </w:r>
          </w:p>
        </w:tc>
        <w:tc>
          <w:tcPr>
            <w:tcW w:w="9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黄亮</w:t>
            </w:r>
          </w:p>
        </w:tc>
        <w:tc>
          <w:tcPr>
            <w:tcW w:w="2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办公室主任</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2023年12月28日</w:t>
            </w:r>
          </w:p>
        </w:tc>
        <w:tc>
          <w:tcPr>
            <w:tcW w:w="9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2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财务管理部副总经理</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2023年02月01日</w:t>
            </w:r>
          </w:p>
        </w:tc>
        <w:tc>
          <w:tcPr>
            <w:tcW w:w="9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2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审计部副总经理</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2023年02月01日</w:t>
            </w:r>
          </w:p>
        </w:tc>
        <w:tc>
          <w:tcPr>
            <w:tcW w:w="9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在其他单位任职情况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70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91"/>
        <w:gridCol w:w="2609"/>
        <w:gridCol w:w="1483"/>
        <w:gridCol w:w="1733"/>
        <w:gridCol w:w="1750"/>
        <w:gridCol w:w="11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任职人员姓名</w:t>
            </w:r>
          </w:p>
        </w:tc>
        <w:tc>
          <w:tcPr>
            <w:tcW w:w="26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其他单位名称</w:t>
            </w: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在其他单位担任的职务</w:t>
            </w:r>
          </w:p>
        </w:tc>
        <w:tc>
          <w:tcPr>
            <w:tcW w:w="17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17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11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在其他单位是否领取报酬津贴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深圳市特发信息股份有限公司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2022年12月16日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2024年07月15日</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深圳市特区建工集团有限公司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2021年11月29日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深圳市特发信息股份有限公司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2021年12月13日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2024年07月15日</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深圳智胜高技术发展有限公司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2023年06月26日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2023年11月06日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深圳市特发投资有限公司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深圳深汕特别合作区特发赛格科技有限公司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特发富海股权投资基金管理（深圳）有限公司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深圳市麦捷微电子科技股份有限公司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监事会主席</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2023年02月27日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深圳市特发深高俱乐部管理有限公司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深圳市智胜高技术研究院</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2023年02月09日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胡玉明</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暨南大学</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管理学院教授、博士生导师</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2003年06月01日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胡玉明</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汤臣倍健股份有限公司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2023年08月24日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2026年08月23日</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江定航</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上海市锦天城（深圳）律师事务所</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高级合伙人</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2005年04月01日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张栋</w:t>
            </w:r>
          </w:p>
        </w:tc>
        <w:tc>
          <w:tcPr>
            <w:tcW w:w="2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壹极炫珠宝（成都）有限公司</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17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2019年09月03日</w:t>
            </w: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在其他单位任职情况的说明</w:t>
            </w:r>
          </w:p>
        </w:tc>
        <w:tc>
          <w:tcPr>
            <w:tcW w:w="8713"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公司董事、监事、高级管理人员在其他单位任职情况为非公司下属控股子公司的任职。</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公司现任及报告期内离任董事、监事和高级管理人员近三年证券监管机构处罚的情况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64" w:name="_Toc988953"/>
      <w:r>
        <w:rPr>
          <w:rFonts w:ascii="宋体" w:hAnsi="宋体" w:eastAsia="宋体" w:cs="宋体"/>
          <w:b/>
          <w:bCs/>
          <w:sz w:val="21"/>
          <w:szCs w:val="21"/>
        </w:rPr>
        <w:t>3、董事、监事、高级管理人员报酬情况</w:t>
      </w:r>
      <w:bookmarkEnd w:id="64"/>
    </w:p>
    <w:p>
      <w:pPr>
        <w:pStyle w:val="8"/>
        <w:keepNext w:val="0"/>
        <w:keepLines w:val="0"/>
        <w:widowControl/>
        <w:suppressLineNumbers w:val="0"/>
      </w:pPr>
      <w:r>
        <w:rPr>
          <w:rFonts w:hint="eastAsia" w:ascii="宋体" w:hAnsi="宋体" w:eastAsia="宋体" w:cs="宋体"/>
          <w:sz w:val="18"/>
          <w:szCs w:val="18"/>
        </w:rPr>
        <w:t>董事、监事、高级管理人员报酬的决策程序、确定依据、实际支付严格按照公司《董事会薪酬与考核委员会实施细则》《班子成员薪酬绩效管理办法》《本部员工薪酬管理制度》《本部员工绩效管理办法》等有关制度规定执行。</w:t>
      </w:r>
    </w:p>
    <w:p>
      <w:pPr>
        <w:spacing w:before="100" w:after="100" w:line="240" w:lineRule="exact"/>
        <w:jc w:val="left"/>
        <w:rPr>
          <w:rFonts w:hint="eastAsia" w:ascii="宋体" w:hAnsi="宋体" w:eastAsia="宋体" w:cs="宋体"/>
          <w:sz w:val="18"/>
          <w:szCs w:val="18"/>
          <w:lang w:eastAsia="zh-CN"/>
        </w:rPr>
      </w:pPr>
      <w:r>
        <w:rPr>
          <w:rFonts w:ascii="宋体" w:hAnsi="宋体" w:eastAsia="宋体" w:cs="宋体"/>
          <w:sz w:val="18"/>
          <w:szCs w:val="18"/>
        </w:rPr>
        <w:t>公司报告期内董事、监事和高级管理人员报酬情况</w:t>
      </w:r>
      <w:r>
        <w:rPr>
          <w:rFonts w:hint="eastAsia" w:ascii="宋体" w:hAnsi="宋体" w:cs="宋体"/>
          <w:sz w:val="18"/>
          <w:szCs w:val="18"/>
          <w:lang w:eastAsia="zh-CN"/>
        </w:rPr>
        <w:t>：</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9"/>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08"/>
        <w:gridCol w:w="1033"/>
        <w:gridCol w:w="867"/>
        <w:gridCol w:w="2350"/>
        <w:gridCol w:w="1158"/>
        <w:gridCol w:w="1434"/>
        <w:gridCol w:w="14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10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性别</w:t>
            </w:r>
          </w:p>
        </w:tc>
        <w:tc>
          <w:tcPr>
            <w:tcW w:w="8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年龄</w:t>
            </w:r>
          </w:p>
        </w:tc>
        <w:tc>
          <w:tcPr>
            <w:tcW w:w="23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11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任职状态</w:t>
            </w:r>
          </w:p>
        </w:tc>
        <w:tc>
          <w:tcPr>
            <w:tcW w:w="14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从公司获得的税前报酬总额</w:t>
            </w:r>
          </w:p>
        </w:tc>
        <w:tc>
          <w:tcPr>
            <w:tcW w:w="14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是否在公司关联方获取报酬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112.11</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吴锐楷</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董事、总经理</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87.97</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黄亮</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董事、财务总监</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18.41</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胡玉明</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江定航</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张栋</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郭晓东</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监事会主席</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74.88</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戴志伟</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叶操</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刘海澄</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51.22</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张正</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48.39</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谭忠</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党委副书记</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76.36</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谢旌</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73.29</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祁鹏</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副总经理、董事会秘书</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80.46</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张保军</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曾星宇</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娄红</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8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23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董事、财务总监</w:t>
            </w:r>
          </w:p>
        </w:tc>
        <w:tc>
          <w:tcPr>
            <w:tcW w:w="11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52.21</w:t>
            </w:r>
          </w:p>
        </w:tc>
        <w:tc>
          <w:tcPr>
            <w:tcW w:w="14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23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1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4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699.3</w:t>
            </w:r>
          </w:p>
        </w:tc>
        <w:tc>
          <w:tcPr>
            <w:tcW w:w="14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65" w:name="_Toc988954"/>
      <w:r>
        <w:rPr>
          <w:rFonts w:ascii="宋体" w:hAnsi="宋体" w:eastAsia="宋体" w:cs="宋体"/>
          <w:b/>
          <w:bCs/>
          <w:sz w:val="24"/>
          <w:szCs w:val="24"/>
        </w:rPr>
        <w:t>六、报告期内董事履行职责的情况</w:t>
      </w:r>
      <w:bookmarkEnd w:id="65"/>
    </w:p>
    <w:p>
      <w:pPr>
        <w:keepNext/>
        <w:keepLines/>
        <w:spacing w:before="300" w:after="300" w:line="280" w:lineRule="exact"/>
        <w:jc w:val="left"/>
        <w:outlineLvl w:val="2"/>
        <w:rPr>
          <w:rFonts w:ascii="宋体" w:hAnsi="宋体" w:eastAsia="宋体" w:cs="宋体"/>
          <w:b/>
          <w:bCs/>
          <w:sz w:val="21"/>
          <w:szCs w:val="21"/>
        </w:rPr>
      </w:pPr>
      <w:bookmarkStart w:id="66" w:name="_Toc988955"/>
      <w:r>
        <w:rPr>
          <w:rFonts w:ascii="宋体" w:hAnsi="宋体" w:eastAsia="宋体" w:cs="宋体"/>
          <w:b/>
          <w:bCs/>
          <w:sz w:val="21"/>
          <w:szCs w:val="21"/>
        </w:rPr>
        <w:t>1、本报告期董事会情况</w:t>
      </w:r>
      <w:bookmarkEnd w:id="66"/>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82"/>
        <w:gridCol w:w="1316"/>
        <w:gridCol w:w="1500"/>
        <w:gridCol w:w="53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会议届次</w:t>
            </w:r>
          </w:p>
        </w:tc>
        <w:tc>
          <w:tcPr>
            <w:tcW w:w="13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15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53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十届董事会第八次临时会议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2023年01月12日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2023年01月13日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详见《证券时报》和巨潮资讯网（www.cninfo.com.cn）《十届董事会第八次临时会议决议公告》（公告编号：2023-001）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十届董事会第九次临时会议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2023年02月02日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2023年02月03日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详见《证券时报》和巨潮资讯网（www.cninfo.com.cn）《十届董事会第九次临时会议决议公告》（公告编号：2023-004）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十届董事会第七次正式会议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2023年04月25日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2023年04月27日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详见《证券时报》和巨潮资讯网（www.cninfo.com.cn）《十届董事会第七次正式会议决议公告》（公告编号：2023-014）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十届董事会第十次临时会议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2023年07月31日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2023年08月01日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详见《证券时报》和巨潮资讯网（www.cninfo.com.cn）《十届董事会第十次临时会议决议公告》（公告编号：2023-033）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十届董事会第十一次临时会议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2023年08月02日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2023年08月03日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详见《证券时报》和巨潮资讯网（www.cninfo.com.cn）《十届董事会第十一次临时会议决议公告》（公告编号：2023-035）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十届董事会第八次正式会议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2023年08月23日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2023年08月24日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详见《证券时报》和巨潮资讯网（www.cninfo.com.cn）《十届董事会第八次正式会议决议公告》（公告编号：2023-037）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十届董事会第十二次临时会议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2023年09月21日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2023年09月22日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详见《证券时报》和巨潮资讯网（www.cninfo.com.cn）《十届董事会第十二次临时会议决议公告》（公告编号：2023-039）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十届董事会第九次正式会议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2023年10月25日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审议《2023年第三季度报告》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十届董事会第十三次临时会议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2023年12月05日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2023年12月06日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详见《证券时报》和巨潮资讯网（www.cninfo.com.cn）《十届董事会第十三次临时会议决议公告》（公告编号：2023-046）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十届董事会第十四次临时会议</w:t>
            </w:r>
          </w:p>
        </w:tc>
        <w:tc>
          <w:tcPr>
            <w:tcW w:w="13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2023年12月28日</w:t>
            </w:r>
          </w:p>
        </w:tc>
        <w:tc>
          <w:tcPr>
            <w:tcW w:w="1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2023年12月29日</w:t>
            </w:r>
          </w:p>
        </w:tc>
        <w:tc>
          <w:tcPr>
            <w:tcW w:w="53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详见《证券时报》和巨潮资讯网（www.cninfo.com.cn）《十届董事会第十四次临时会议决议公告》（公告编号：2023-047）</w:t>
            </w:r>
          </w:p>
        </w:tc>
      </w:tr>
    </w:tbl>
    <w:p>
      <w:pPr>
        <w:keepNext/>
        <w:keepLines/>
        <w:spacing w:before="300" w:after="300" w:line="280" w:lineRule="exact"/>
        <w:jc w:val="left"/>
        <w:outlineLvl w:val="2"/>
        <w:rPr>
          <w:rFonts w:ascii="宋体" w:hAnsi="宋体" w:eastAsia="宋体" w:cs="宋体"/>
          <w:b/>
          <w:bCs/>
          <w:sz w:val="21"/>
          <w:szCs w:val="21"/>
        </w:rPr>
      </w:pPr>
      <w:bookmarkStart w:id="67" w:name="_Toc988956"/>
      <w:r>
        <w:rPr>
          <w:rFonts w:ascii="宋体" w:hAnsi="宋体" w:eastAsia="宋体" w:cs="宋体"/>
          <w:b/>
          <w:bCs/>
          <w:sz w:val="21"/>
          <w:szCs w:val="21"/>
        </w:rPr>
        <w:t>2、董事出席董事会及股东大会的情况</w:t>
      </w:r>
      <w:bookmarkEnd w:id="67"/>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23"/>
        <w:gridCol w:w="1387"/>
        <w:gridCol w:w="1138"/>
        <w:gridCol w:w="1272"/>
        <w:gridCol w:w="1205"/>
        <w:gridCol w:w="1205"/>
        <w:gridCol w:w="1402"/>
        <w:gridCol w:w="10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0"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董事出席董事会及股东大会的情况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董事姓名</w:t>
            </w:r>
          </w:p>
        </w:tc>
        <w:tc>
          <w:tcPr>
            <w:tcW w:w="13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本报告期应参加董事会次数</w:t>
            </w:r>
          </w:p>
        </w:tc>
        <w:tc>
          <w:tcPr>
            <w:tcW w:w="11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现场出席董事会次数</w:t>
            </w:r>
          </w:p>
        </w:tc>
        <w:tc>
          <w:tcPr>
            <w:tcW w:w="12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以通讯方式参加董事会次数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缺席董事会次数</w:t>
            </w:r>
          </w:p>
        </w:tc>
        <w:tc>
          <w:tcPr>
            <w:tcW w:w="1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是否连续两次未亲自参加董事会会议</w:t>
            </w:r>
          </w:p>
        </w:tc>
        <w:tc>
          <w:tcPr>
            <w:tcW w:w="10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出席股东大会次数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杨喜</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黄亮</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黄田阳</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江定航</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胡玉明</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张栋</w:t>
            </w:r>
          </w:p>
        </w:tc>
        <w:tc>
          <w:tcPr>
            <w:tcW w:w="13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4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否</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r>
    </w:tbl>
    <w:p>
      <w:pPr>
        <w:spacing w:before="100" w:after="100" w:line="240" w:lineRule="exact"/>
        <w:jc w:val="left"/>
        <w:rPr>
          <w:rFonts w:hint="eastAsia" w:ascii="宋体" w:hAnsi="宋体" w:eastAsia="宋体" w:cs="宋体"/>
          <w:sz w:val="21"/>
          <w:szCs w:val="21"/>
        </w:rPr>
      </w:pPr>
      <w:r>
        <w:rPr>
          <w:rFonts w:ascii="宋体" w:hAnsi="宋体" w:eastAsia="宋体" w:cs="宋体"/>
          <w:sz w:val="18"/>
          <w:szCs w:val="18"/>
        </w:rPr>
        <w:t>连续两次未亲自出席董事会的说明</w:t>
      </w:r>
      <w:r>
        <w:rPr>
          <w:rFonts w:hint="eastAsia" w:ascii="宋体" w:hAnsi="宋体" w:eastAsia="宋体" w:cs="宋体"/>
          <w:sz w:val="18"/>
          <w:szCs w:val="18"/>
          <w:lang w:eastAsia="zh-CN"/>
        </w:rPr>
        <w:t>：</w:t>
      </w:r>
      <w:r>
        <w:rPr>
          <w:rFonts w:hint="eastAsia" w:ascii="宋体" w:hAnsi="宋体" w:eastAsia="宋体" w:cs="宋体"/>
          <w:sz w:val="18"/>
          <w:szCs w:val="18"/>
        </w:rPr>
        <w:t>本报告期内，不存在董事两次未亲自出席公司董事会的情况。</w:t>
      </w:r>
    </w:p>
    <w:p>
      <w:pPr>
        <w:keepNext/>
        <w:keepLines/>
        <w:spacing w:before="300" w:after="300" w:line="280" w:lineRule="exact"/>
        <w:jc w:val="left"/>
        <w:outlineLvl w:val="2"/>
        <w:rPr>
          <w:rFonts w:ascii="宋体" w:hAnsi="宋体" w:eastAsia="宋体" w:cs="宋体"/>
          <w:b/>
          <w:bCs/>
          <w:sz w:val="21"/>
          <w:szCs w:val="21"/>
        </w:rPr>
      </w:pPr>
      <w:bookmarkStart w:id="68" w:name="_Toc988957"/>
      <w:r>
        <w:rPr>
          <w:rFonts w:ascii="宋体" w:hAnsi="宋体" w:eastAsia="宋体" w:cs="宋体"/>
          <w:b/>
          <w:bCs/>
          <w:sz w:val="21"/>
          <w:szCs w:val="21"/>
        </w:rPr>
        <w:t>3、董事对公司有关事项提出异议的情况</w:t>
      </w:r>
      <w:bookmarkEnd w:id="68"/>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董事对公司有关事项是否提出异议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报告期内董事对公司有关事项未提出异议。</w:t>
      </w:r>
    </w:p>
    <w:p>
      <w:pPr>
        <w:keepNext/>
        <w:keepLines/>
        <w:spacing w:before="300" w:after="300" w:line="280" w:lineRule="exact"/>
        <w:jc w:val="left"/>
        <w:outlineLvl w:val="2"/>
        <w:rPr>
          <w:rFonts w:ascii="宋体" w:hAnsi="宋体" w:eastAsia="宋体" w:cs="宋体"/>
          <w:b/>
          <w:bCs/>
          <w:sz w:val="21"/>
          <w:szCs w:val="21"/>
        </w:rPr>
      </w:pPr>
      <w:bookmarkStart w:id="69" w:name="_Toc988958"/>
      <w:r>
        <w:rPr>
          <w:rFonts w:ascii="宋体" w:hAnsi="宋体" w:eastAsia="宋体" w:cs="宋体"/>
          <w:b/>
          <w:bCs/>
          <w:sz w:val="21"/>
          <w:szCs w:val="21"/>
        </w:rPr>
        <w:t>4、董事履行职责的其他说明</w:t>
      </w:r>
      <w:bookmarkEnd w:id="69"/>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董事对公司有关建议是否被采纳</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100" w:after="100" w:line="240" w:lineRule="exact"/>
        <w:jc w:val="left"/>
        <w:rPr>
          <w:rFonts w:hint="eastAsia" w:ascii="宋体" w:hAnsi="宋体" w:eastAsia="宋体" w:cs="宋体"/>
          <w:sz w:val="18"/>
          <w:szCs w:val="18"/>
          <w:lang w:eastAsia="zh-CN"/>
        </w:rPr>
      </w:pPr>
      <w:r>
        <w:rPr>
          <w:rFonts w:ascii="宋体" w:hAnsi="宋体" w:eastAsia="宋体" w:cs="宋体"/>
          <w:sz w:val="18"/>
          <w:szCs w:val="18"/>
        </w:rPr>
        <w:t>董事对公司有关建议被采纳或未被采纳的说明</w:t>
      </w:r>
      <w:r>
        <w:rPr>
          <w:rFonts w:hint="eastAsia" w:ascii="宋体" w:hAnsi="宋体" w:cs="宋体"/>
          <w:sz w:val="18"/>
          <w:szCs w:val="18"/>
          <w:lang w:eastAsia="zh-CN"/>
        </w:rPr>
        <w:t>：</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报告期内，公司全体董事严格按照《公司法》《证券法》《深圳证券交易所上市公司自律监管指引第1号——主板上市公司规范运作》等法律法规、规范性文件以及《公司章程》《董事会议事规则》开展工作，忠于职守、勤勉尽责，积极出席董事会会议，了解所审议事项</w:t>
      </w:r>
      <w:r>
        <w:rPr>
          <w:rFonts w:hint="eastAsia" w:ascii="宋体" w:hAnsi="宋体" w:cs="宋体"/>
          <w:sz w:val="21"/>
          <w:szCs w:val="21"/>
          <w:lang w:val="en-US" w:eastAsia="zh-CN"/>
        </w:rPr>
        <w:t>的</w:t>
      </w:r>
      <w:r>
        <w:rPr>
          <w:rFonts w:hint="eastAsia" w:ascii="宋体" w:hAnsi="宋体" w:eastAsia="宋体" w:cs="宋体"/>
          <w:sz w:val="21"/>
          <w:szCs w:val="21"/>
        </w:rPr>
        <w:t>业务实质，认真审议各项议案并予以讨论，为公司内部控制、经营管理和战略布局提出了具有针对性的建议。公司独立董事按照《上市公司独立董事管理办法》有关规定，充分发挥自身专业知识，做出独立、公正的判断，对公司财务及生产经营活动、信息披露工作进行有效的监督，对董事会科学决策和规范运作起到了积极作用，切实维护了公司和全体股东的合法权益。公司认真听取董事提出的建议，积极采纳符合公司发展的合理化建议。</w:t>
      </w:r>
    </w:p>
    <w:p>
      <w:pPr>
        <w:keepNext/>
        <w:keepLines/>
        <w:spacing w:before="300" w:after="300" w:line="320" w:lineRule="exact"/>
        <w:jc w:val="left"/>
        <w:outlineLvl w:val="1"/>
        <w:rPr>
          <w:rFonts w:ascii="宋体" w:hAnsi="宋体" w:eastAsia="宋体" w:cs="宋体"/>
          <w:b/>
          <w:bCs/>
          <w:sz w:val="24"/>
          <w:szCs w:val="24"/>
        </w:rPr>
      </w:pPr>
      <w:bookmarkStart w:id="70" w:name="_Toc988959"/>
      <w:r>
        <w:rPr>
          <w:rFonts w:ascii="宋体" w:hAnsi="宋体" w:eastAsia="宋体" w:cs="宋体"/>
          <w:b/>
          <w:bCs/>
          <w:sz w:val="24"/>
          <w:szCs w:val="24"/>
        </w:rPr>
        <w:t>七、董事会下设专门委员会在报告期内的情况</w:t>
      </w:r>
      <w:bookmarkEnd w:id="70"/>
    </w:p>
    <w:tbl>
      <w:tblPr>
        <w:tblStyle w:val="9"/>
        <w:tblW w:w="9717" w:type="dxa"/>
        <w:tblInd w:w="-7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00"/>
        <w:gridCol w:w="1600"/>
        <w:gridCol w:w="634"/>
        <w:gridCol w:w="1233"/>
        <w:gridCol w:w="2500"/>
        <w:gridCol w:w="950"/>
        <w:gridCol w:w="792"/>
        <w:gridCol w:w="10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委员会名称</w:t>
            </w:r>
          </w:p>
        </w:tc>
        <w:tc>
          <w:tcPr>
            <w:tcW w:w="16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成员情况</w:t>
            </w:r>
          </w:p>
        </w:tc>
        <w:tc>
          <w:tcPr>
            <w:tcW w:w="6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召开会议次数</w:t>
            </w:r>
          </w:p>
        </w:tc>
        <w:tc>
          <w:tcPr>
            <w:tcW w:w="1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25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会议内容</w:t>
            </w:r>
          </w:p>
        </w:tc>
        <w:tc>
          <w:tcPr>
            <w:tcW w:w="9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提出的重要意见和建议</w:t>
            </w:r>
          </w:p>
        </w:tc>
        <w:tc>
          <w:tcPr>
            <w:tcW w:w="7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其他履行职责的情况</w:t>
            </w:r>
          </w:p>
        </w:tc>
        <w:tc>
          <w:tcPr>
            <w:tcW w:w="10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异议事项具体情况（如有）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十届董事会</w:t>
            </w:r>
            <w:r>
              <w:rPr>
                <w:rFonts w:ascii="宋体" w:hAnsi="宋体" w:eastAsia="宋体" w:cs="宋体"/>
                <w:sz w:val="18"/>
                <w:szCs w:val="18"/>
              </w:rPr>
              <w:t>审计委员会</w:t>
            </w:r>
          </w:p>
          <w:p>
            <w:pPr>
              <w:spacing w:before="0" w:after="0" w:line="240" w:lineRule="exact"/>
              <w:jc w:val="left"/>
              <w:rPr>
                <w:rFonts w:ascii="宋体" w:hAnsi="宋体" w:eastAsia="宋体" w:cs="宋体"/>
                <w:sz w:val="18"/>
                <w:szCs w:val="18"/>
              </w:rPr>
            </w:pPr>
          </w:p>
        </w:tc>
        <w:tc>
          <w:tcPr>
            <w:tcW w:w="1600"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洪文亚、娄红、胡玉明、江定航、张栋</w:t>
            </w:r>
          </w:p>
          <w:p>
            <w:pPr>
              <w:spacing w:before="0" w:after="0" w:line="240" w:lineRule="exact"/>
              <w:jc w:val="left"/>
              <w:rPr>
                <w:rFonts w:ascii="宋体" w:hAnsi="宋体" w:eastAsia="宋体" w:cs="宋体"/>
                <w:sz w:val="18"/>
                <w:szCs w:val="18"/>
              </w:rPr>
            </w:pPr>
          </w:p>
        </w:tc>
        <w:tc>
          <w:tcPr>
            <w:tcW w:w="634" w:type="dxa"/>
            <w:vMerge w:val="restart"/>
            <w:tcBorders>
              <w:top w:val="single" w:color="auto" w:sz="2" w:space="0"/>
              <w:left w:val="single" w:color="auto" w:sz="2" w:space="0"/>
              <w:right w:val="single" w:color="auto" w:sz="2" w:space="0"/>
            </w:tcBorders>
            <w:vAlign w:val="center"/>
          </w:tcPr>
          <w:p>
            <w:pPr>
              <w:spacing w:before="0" w:after="0"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2023年02月02日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审议《关于续聘2022年度审计机构的议案》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2023年02月10日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会议通报了2022年度财务报告审计初步安排</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2023年04月25日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向审计委员会汇报2022年度财务状况和经营成果</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2023年08月01日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审议《关于开展2023年年度财务报表及内部控制审计中介机构选聘工作的议案》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洪文亚、胡玉明、江定航、张栋</w:t>
            </w:r>
          </w:p>
        </w:tc>
        <w:tc>
          <w:tcPr>
            <w:tcW w:w="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2023年09月20日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default" w:ascii="宋体" w:hAnsi="宋体" w:cs="宋体"/>
                <w:sz w:val="18"/>
                <w:szCs w:val="18"/>
                <w:lang w:val="en-US" w:eastAsia="zh-CN"/>
              </w:rPr>
              <w:t>1.</w:t>
            </w:r>
            <w:r>
              <w:rPr>
                <w:rFonts w:ascii="宋体" w:hAnsi="宋体" w:eastAsia="宋体" w:cs="宋体"/>
                <w:sz w:val="18"/>
                <w:szCs w:val="18"/>
              </w:rPr>
              <w:t>审议《关于调整公司董事会审计委员会成员的议案》</w:t>
            </w:r>
          </w:p>
          <w:p>
            <w:pPr>
              <w:spacing w:before="0" w:after="0" w:line="240" w:lineRule="exact"/>
              <w:jc w:val="left"/>
              <w:rPr>
                <w:rFonts w:hint="eastAsia" w:ascii="宋体" w:hAnsi="宋体" w:eastAsia="宋体" w:cs="宋体"/>
                <w:sz w:val="18"/>
                <w:szCs w:val="18"/>
              </w:rPr>
            </w:pPr>
            <w:r>
              <w:rPr>
                <w:rFonts w:hint="default" w:ascii="宋体" w:hAnsi="宋体" w:cs="宋体"/>
                <w:sz w:val="18"/>
                <w:szCs w:val="18"/>
                <w:lang w:val="en-US" w:eastAsia="zh-CN"/>
              </w:rPr>
              <w:t>2.审议</w:t>
            </w:r>
            <w:r>
              <w:rPr>
                <w:rFonts w:hint="eastAsia" w:ascii="宋体" w:hAnsi="宋体" w:eastAsia="宋体" w:cs="宋体"/>
                <w:sz w:val="18"/>
                <w:szCs w:val="18"/>
              </w:rPr>
              <w:t>《关于拟变更会计师事务所的议案》</w:t>
            </w:r>
          </w:p>
          <w:p>
            <w:pPr>
              <w:spacing w:before="0" w:after="0" w:line="240" w:lineRule="exact"/>
              <w:jc w:val="left"/>
              <w:rPr>
                <w:rFonts w:ascii="宋体" w:hAnsi="宋体" w:eastAsia="宋体" w:cs="宋体"/>
                <w:sz w:val="18"/>
                <w:szCs w:val="18"/>
              </w:rPr>
            </w:pPr>
            <w:r>
              <w:rPr>
                <w:rFonts w:hint="default" w:ascii="宋体" w:hAnsi="宋体" w:cs="宋体"/>
                <w:sz w:val="18"/>
                <w:szCs w:val="18"/>
                <w:lang w:val="en-US" w:eastAsia="zh-CN"/>
              </w:rPr>
              <w:t>3.</w:t>
            </w:r>
            <w:r>
              <w:rPr>
                <w:rFonts w:hint="eastAsia" w:ascii="宋体" w:hAnsi="宋体" w:eastAsia="宋体" w:cs="宋体"/>
                <w:sz w:val="18"/>
                <w:szCs w:val="18"/>
              </w:rPr>
              <w:t>《关于修订&lt;内部控制缺陷认定标准&gt;的议案》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富春龙、洪文亚、胡玉明、江定航、张栋</w:t>
            </w:r>
          </w:p>
        </w:tc>
        <w:tc>
          <w:tcPr>
            <w:tcW w:w="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2023年10月24日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审议《2023年第三季度报告》</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十届董事会</w:t>
            </w:r>
            <w:r>
              <w:rPr>
                <w:rFonts w:ascii="宋体" w:hAnsi="宋体" w:eastAsia="宋体" w:cs="宋体"/>
                <w:sz w:val="18"/>
                <w:szCs w:val="18"/>
              </w:rPr>
              <w:t>薪酬与考核委员会</w:t>
            </w:r>
          </w:p>
          <w:p>
            <w:pPr>
              <w:spacing w:before="0" w:after="0" w:line="240" w:lineRule="exact"/>
              <w:jc w:val="left"/>
              <w:rPr>
                <w:rFonts w:ascii="宋体" w:hAnsi="宋体" w:eastAsia="宋体" w:cs="宋体"/>
                <w:sz w:val="18"/>
                <w:szCs w:val="18"/>
              </w:rPr>
            </w:pPr>
          </w:p>
        </w:tc>
        <w:tc>
          <w:tcPr>
            <w:tcW w:w="1600"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富春龙、洪文亚、胡玉明、江定航、张栋</w:t>
            </w:r>
          </w:p>
        </w:tc>
        <w:tc>
          <w:tcPr>
            <w:tcW w:w="634" w:type="dxa"/>
            <w:vMerge w:val="restart"/>
            <w:tcBorders>
              <w:top w:val="single" w:color="auto" w:sz="2" w:space="0"/>
              <w:left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4</w:t>
            </w: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2023年04月25日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审议《班子成员2023年绩效指标》</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2023年08月22日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1.审议《关于公司副总经理职务考核结果的议案》</w:t>
            </w:r>
          </w:p>
          <w:p>
            <w:pPr>
              <w:spacing w:before="0" w:after="0" w:line="240" w:lineRule="exact"/>
              <w:jc w:val="left"/>
              <w:rPr>
                <w:rFonts w:ascii="宋体" w:hAnsi="宋体" w:eastAsia="宋体" w:cs="宋体"/>
                <w:sz w:val="18"/>
                <w:szCs w:val="18"/>
              </w:rPr>
            </w:pPr>
            <w:r>
              <w:rPr>
                <w:rFonts w:ascii="宋体" w:hAnsi="宋体" w:eastAsia="宋体" w:cs="宋体"/>
                <w:sz w:val="18"/>
                <w:szCs w:val="18"/>
              </w:rPr>
              <w:t>2.审议《关于修订公司&lt;班子成员薪酬绩效管理办法&gt;的议案》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2023年09月20日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审议《关于公司经营班子2022年度考核结果的议案》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0"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34" w:type="dxa"/>
            <w:vMerge w:val="continue"/>
            <w:tcBorders>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2023年12月27日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审议《关于公司部分经营班子项目奖金核定发放的议案》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十届董事会</w:t>
            </w:r>
            <w:r>
              <w:rPr>
                <w:rFonts w:ascii="宋体" w:hAnsi="宋体" w:eastAsia="宋体" w:cs="宋体"/>
                <w:sz w:val="18"/>
                <w:szCs w:val="18"/>
              </w:rPr>
              <w:t>战略委员会</w:t>
            </w:r>
          </w:p>
        </w:tc>
        <w:tc>
          <w:tcPr>
            <w:tcW w:w="16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富春龙、洪文亚、吴锐楷、杨喜、黄亮</w:t>
            </w:r>
          </w:p>
        </w:tc>
        <w:tc>
          <w:tcPr>
            <w:tcW w:w="6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w:t>
            </w:r>
          </w:p>
        </w:tc>
        <w:tc>
          <w:tcPr>
            <w:tcW w:w="12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2023年09月20日</w:t>
            </w:r>
          </w:p>
        </w:tc>
        <w:tc>
          <w:tcPr>
            <w:tcW w:w="25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审议《关于修订&lt;战略规划管理制度&gt;的议案》</w:t>
            </w:r>
          </w:p>
        </w:tc>
        <w:tc>
          <w:tcPr>
            <w:tcW w:w="9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审议通过</w:t>
            </w:r>
          </w:p>
        </w:tc>
        <w:tc>
          <w:tcPr>
            <w:tcW w:w="7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320" w:lineRule="exact"/>
        <w:jc w:val="left"/>
        <w:outlineLvl w:val="1"/>
        <w:rPr>
          <w:rFonts w:ascii="宋体" w:hAnsi="宋体" w:eastAsia="宋体" w:cs="宋体"/>
          <w:b/>
          <w:bCs/>
          <w:sz w:val="24"/>
          <w:szCs w:val="24"/>
        </w:rPr>
      </w:pPr>
      <w:bookmarkStart w:id="71" w:name="_Toc988960"/>
      <w:r>
        <w:rPr>
          <w:rFonts w:ascii="宋体" w:hAnsi="宋体" w:eastAsia="宋体" w:cs="宋体"/>
          <w:b/>
          <w:bCs/>
          <w:sz w:val="24"/>
          <w:szCs w:val="24"/>
        </w:rPr>
        <w:t>八、监事会工作情况</w:t>
      </w:r>
      <w:bookmarkEnd w:id="71"/>
    </w:p>
    <w:p>
      <w:pPr>
        <w:spacing w:before="100" w:after="100" w:line="240" w:lineRule="exact"/>
        <w:jc w:val="left"/>
        <w:rPr>
          <w:rFonts w:ascii="宋体" w:hAnsi="宋体" w:eastAsia="宋体" w:cs="宋体"/>
          <w:sz w:val="18"/>
          <w:szCs w:val="18"/>
        </w:rPr>
      </w:pPr>
      <w:r>
        <w:rPr>
          <w:rFonts w:ascii="宋体" w:hAnsi="宋体" w:eastAsia="宋体" w:cs="宋体"/>
          <w:sz w:val="18"/>
          <w:szCs w:val="18"/>
        </w:rPr>
        <w:t>监事会在报告期内的监督活动中发现公司是否存在风险</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监事会对报告期内的监督事项无异议。</w:t>
      </w:r>
    </w:p>
    <w:p>
      <w:pPr>
        <w:keepNext/>
        <w:keepLines/>
        <w:spacing w:before="300" w:after="300" w:line="320" w:lineRule="exact"/>
        <w:jc w:val="left"/>
        <w:outlineLvl w:val="1"/>
        <w:rPr>
          <w:rFonts w:ascii="宋体" w:hAnsi="宋体" w:eastAsia="宋体" w:cs="宋体"/>
          <w:b/>
          <w:bCs/>
          <w:sz w:val="24"/>
          <w:szCs w:val="24"/>
        </w:rPr>
      </w:pPr>
      <w:bookmarkStart w:id="72" w:name="_Toc988961"/>
      <w:r>
        <w:rPr>
          <w:rFonts w:ascii="宋体" w:hAnsi="宋体" w:eastAsia="宋体" w:cs="宋体"/>
          <w:b/>
          <w:bCs/>
          <w:sz w:val="24"/>
          <w:szCs w:val="24"/>
        </w:rPr>
        <w:t>九、公司员工情况</w:t>
      </w:r>
      <w:bookmarkEnd w:id="72"/>
    </w:p>
    <w:p>
      <w:pPr>
        <w:keepNext/>
        <w:keepLines/>
        <w:spacing w:before="300" w:after="300" w:line="280" w:lineRule="exact"/>
        <w:jc w:val="left"/>
        <w:outlineLvl w:val="2"/>
        <w:rPr>
          <w:rFonts w:ascii="宋体" w:hAnsi="宋体" w:eastAsia="宋体" w:cs="宋体"/>
          <w:b/>
          <w:bCs/>
          <w:sz w:val="21"/>
          <w:szCs w:val="21"/>
        </w:rPr>
      </w:pPr>
      <w:bookmarkStart w:id="73" w:name="_Toc988962"/>
      <w:r>
        <w:rPr>
          <w:rFonts w:ascii="宋体" w:hAnsi="宋体" w:eastAsia="宋体" w:cs="宋体"/>
          <w:b/>
          <w:bCs/>
          <w:sz w:val="21"/>
          <w:szCs w:val="21"/>
        </w:rPr>
        <w:t>1、员工数量、专业构成及教育程度</w:t>
      </w:r>
      <w:bookmarkEnd w:id="73"/>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报告期末母公司在职员工的数量（人）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报告期末主要子公司在职员工的数量（人）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报告期末在职员工的数量合计（人）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当期领取薪酬员工总人数（人）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母公司及主要子公司需承担费用的离退休职工人数（人）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专业构成类别</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专业构成人数（人）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生产人员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技术人员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行政人员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教育程度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教育程度类别</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硕士及以上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大专及大专以下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w:t>
            </w:r>
          </w:p>
        </w:tc>
      </w:tr>
    </w:tbl>
    <w:p>
      <w:pPr>
        <w:keepNext/>
        <w:keepLines/>
        <w:spacing w:before="300" w:after="300" w:line="280" w:lineRule="exact"/>
        <w:jc w:val="left"/>
        <w:outlineLvl w:val="2"/>
        <w:rPr>
          <w:rFonts w:ascii="宋体" w:hAnsi="宋体" w:eastAsia="宋体" w:cs="宋体"/>
          <w:b/>
          <w:bCs/>
          <w:sz w:val="21"/>
          <w:szCs w:val="21"/>
        </w:rPr>
      </w:pPr>
      <w:bookmarkStart w:id="74" w:name="_Toc988963"/>
      <w:r>
        <w:rPr>
          <w:rFonts w:ascii="宋体" w:hAnsi="宋体" w:eastAsia="宋体" w:cs="宋体"/>
          <w:b/>
          <w:bCs/>
          <w:sz w:val="21"/>
          <w:szCs w:val="21"/>
        </w:rPr>
        <w:t>2、薪酬政策</w:t>
      </w:r>
      <w:bookmarkEnd w:id="74"/>
    </w:p>
    <w:p>
      <w:pPr>
        <w:pStyle w:val="8"/>
        <w:keepNext w:val="0"/>
        <w:keepLines w:val="0"/>
        <w:widowControl/>
        <w:suppressLineNumbers w:val="0"/>
      </w:pPr>
      <w:r>
        <w:rPr>
          <w:rFonts w:hint="eastAsia" w:ascii="宋体" w:hAnsi="宋体" w:eastAsia="宋体" w:cs="宋体"/>
          <w:sz w:val="18"/>
          <w:szCs w:val="18"/>
        </w:rPr>
        <w:t>公司严格按照《本部员工薪酬管理制度》《本部员工绩效考核管理制度》等制度执行。</w:t>
      </w:r>
    </w:p>
    <w:p>
      <w:pPr>
        <w:keepNext/>
        <w:keepLines/>
        <w:spacing w:before="300" w:after="300" w:line="280" w:lineRule="exact"/>
        <w:jc w:val="left"/>
        <w:outlineLvl w:val="2"/>
        <w:rPr>
          <w:rFonts w:ascii="宋体" w:hAnsi="宋体" w:eastAsia="宋体" w:cs="宋体"/>
          <w:b/>
          <w:bCs/>
          <w:sz w:val="21"/>
          <w:szCs w:val="21"/>
        </w:rPr>
      </w:pPr>
      <w:bookmarkStart w:id="75" w:name="_Toc988964"/>
      <w:r>
        <w:rPr>
          <w:rFonts w:ascii="宋体" w:hAnsi="宋体" w:eastAsia="宋体" w:cs="宋体"/>
          <w:b/>
          <w:bCs/>
          <w:sz w:val="21"/>
          <w:szCs w:val="21"/>
        </w:rPr>
        <w:t>3、培训计划</w:t>
      </w:r>
      <w:bookmarkEnd w:id="75"/>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年度培训工作重点突出健全新员工培训体系、提升中层管理人员管理技能、强化珠宝类专业培训，在实际的培训工作中不断丰富培训内容，拓展培训形式，优化培训流程，明确培训目的，提高培训效果。具体措施为：一是丰富并优化完善新员工入职学习资料库，更新员工手册；全年组织召开两场新员工座谈会，助力新员工快速融入公司；二是尝试建立以管理能力测评、反馈为核心的中层管理人员培训体系；三是全年组织珠宝类专业培训，培训内容涉及国际贸易、风险管理、加工及进出口业务等。</w:t>
      </w:r>
    </w:p>
    <w:p>
      <w:pPr>
        <w:keepNext/>
        <w:keepLines/>
        <w:spacing w:before="300" w:after="300" w:line="280" w:lineRule="exact"/>
        <w:jc w:val="left"/>
        <w:outlineLvl w:val="2"/>
        <w:rPr>
          <w:rFonts w:ascii="宋体" w:hAnsi="宋体" w:eastAsia="宋体" w:cs="宋体"/>
          <w:b/>
          <w:bCs/>
          <w:sz w:val="21"/>
          <w:szCs w:val="21"/>
        </w:rPr>
      </w:pPr>
      <w:bookmarkStart w:id="76" w:name="_Toc988965"/>
      <w:r>
        <w:rPr>
          <w:rFonts w:ascii="宋体" w:hAnsi="宋体" w:eastAsia="宋体" w:cs="宋体"/>
          <w:b/>
          <w:bCs/>
          <w:sz w:val="21"/>
          <w:szCs w:val="21"/>
        </w:rPr>
        <w:t>4、劳务外包情况</w:t>
      </w:r>
      <w:bookmarkEnd w:id="7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77" w:name="_Toc988966"/>
      <w:r>
        <w:rPr>
          <w:rFonts w:ascii="宋体" w:hAnsi="宋体" w:eastAsia="宋体" w:cs="宋体"/>
          <w:b/>
          <w:bCs/>
          <w:sz w:val="24"/>
          <w:szCs w:val="24"/>
        </w:rPr>
        <w:t>十、公司利润分配及资本公积金转增股本情况</w:t>
      </w:r>
      <w:bookmarkEnd w:id="77"/>
    </w:p>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报告期内利润分配政策，特别是现金分红政策的制定、执行或调整情况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jc w:val="left"/>
        <w:rPr>
          <w:rFonts w:hint="default" w:ascii="Times New Roman" w:hAnsi="Times New Roman" w:cs="Times New Roman"/>
          <w:sz w:val="24"/>
          <w:szCs w:val="24"/>
        </w:rPr>
      </w:pPr>
      <w:r>
        <w:rPr>
          <w:rFonts w:hint="eastAsia" w:ascii="宋体" w:hAnsi="宋体" w:eastAsia="宋体" w:cs="宋体"/>
          <w:sz w:val="18"/>
          <w:szCs w:val="18"/>
        </w:rPr>
        <w:t>公司重视对投资者的合理回报，《公司章程》中明晰了现金分红事项的标准和比例、决策程序和机制、利润分配的形式。公司严格执行《公司章程》以及股东大会决议，分红标准和比例明确、清晰，相关的决策程序和机制完备，中小股东有充分表达意见和诉求的机会，中小股东的合法权益得到充分维护。</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现金分红政策的专项说明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是否符合公司章程的规定或股东大会决议的要求：</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分红标准和比例是否明确和清晰：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相关的决策程序和机制是否完备：</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独立董事是否履职尽责并发挥了应有的作用：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公司未进行现金分红的，应当披露具体原因，以及下一步为增强投资者回报水平拟采取的举措：</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中小股东是否有充分表达意见和诉求的机会，其合法权益是否得到了充分保护：</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现金分红政策进行调整或变更的，条件及程序是否合规、透明：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val="en-US" w:eastAsia="zh-CN"/>
              </w:rPr>
            </w:pPr>
            <w:r>
              <w:rPr>
                <w:rFonts w:hint="eastAsia" w:ascii="宋体" w:hAnsi="宋体" w:cs="宋体"/>
                <w:sz w:val="18"/>
                <w:szCs w:val="18"/>
                <w:lang w:val="en-US" w:eastAsia="zh-CN"/>
              </w:rPr>
              <w:t>不适用</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公司报告期内盈利且母公司可供股东分配利润为正但未提出现金红利分配预案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本报告期利润分配及资本公积金转增股本情况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每10股送红股数（股）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每10股派息数（元）（含税）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分配预案的股本基数（股）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现金分红金额（元）（含税）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13,362,807.92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以其他方式（如回购股份）现金分红金额（元）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现金分红总额（含其他方式）（元）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13,362,807.92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可分配利润（元）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103,114,028.96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现金分红总额（含其他方式）占利润分配总额的比例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本次现金分红情况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利润分配或资本公积金转增预案的详细情况说明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为积极回报股东，让广大投资者参与和分享公司发展的经营成果，根据《公司章程》《公司未来三年（2023-2025年度）股东回报规划》《深圳证券交易所股票上市规则》等关于现金分红规定，同时兼顾公司未来战略布局等资本性支出需要，公司拟以2023年12月31日的总股本431,058,320股为基数，向全体股东每10股派发现金红利0.31元（含税），共计派发现金13,362,807.92元，不送红股，不转增股本。本次利润分配方案经股东大会审议通过后实施。</w:t>
            </w:r>
          </w:p>
        </w:tc>
      </w:tr>
    </w:tbl>
    <w:p>
      <w:pPr>
        <w:keepNext/>
        <w:keepLines/>
        <w:spacing w:before="300" w:after="300" w:line="320" w:lineRule="exact"/>
        <w:jc w:val="left"/>
        <w:outlineLvl w:val="1"/>
        <w:rPr>
          <w:rFonts w:ascii="宋体" w:hAnsi="宋体" w:eastAsia="宋体" w:cs="宋体"/>
          <w:b/>
          <w:bCs/>
          <w:sz w:val="24"/>
          <w:szCs w:val="24"/>
        </w:rPr>
      </w:pPr>
      <w:bookmarkStart w:id="78" w:name="_Toc988967"/>
      <w:r>
        <w:rPr>
          <w:rFonts w:ascii="宋体" w:hAnsi="宋体" w:eastAsia="宋体" w:cs="宋体"/>
          <w:b/>
          <w:bCs/>
          <w:sz w:val="24"/>
          <w:szCs w:val="24"/>
        </w:rPr>
        <w:t>十一、公司股权激励计划、员工持股计划或其他员工激励措施的实施情况</w:t>
      </w:r>
      <w:bookmarkEnd w:id="78"/>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公司报告期无股权激励计划、员工持股计划或其他员工激励措施及其实施情况。</w:t>
      </w:r>
    </w:p>
    <w:p>
      <w:pPr>
        <w:keepNext/>
        <w:keepLines/>
        <w:spacing w:before="300" w:after="300" w:line="320" w:lineRule="exact"/>
        <w:jc w:val="left"/>
        <w:outlineLvl w:val="1"/>
        <w:rPr>
          <w:rFonts w:ascii="宋体" w:hAnsi="宋体" w:eastAsia="宋体" w:cs="宋体"/>
          <w:b/>
          <w:bCs/>
          <w:sz w:val="24"/>
          <w:szCs w:val="24"/>
        </w:rPr>
      </w:pPr>
      <w:bookmarkStart w:id="79" w:name="_Toc988968"/>
      <w:r>
        <w:rPr>
          <w:rFonts w:ascii="宋体" w:hAnsi="宋体" w:eastAsia="宋体" w:cs="宋体"/>
          <w:b/>
          <w:bCs/>
          <w:sz w:val="24"/>
          <w:szCs w:val="24"/>
        </w:rPr>
        <w:t>十二、报告期内的内部控制制度建设及实施情况</w:t>
      </w:r>
      <w:bookmarkEnd w:id="79"/>
    </w:p>
    <w:p>
      <w:pPr>
        <w:keepNext/>
        <w:keepLines/>
        <w:spacing w:before="300" w:after="300" w:line="280" w:lineRule="exact"/>
        <w:jc w:val="left"/>
        <w:outlineLvl w:val="2"/>
        <w:rPr>
          <w:rFonts w:ascii="宋体" w:hAnsi="宋体" w:eastAsia="宋体" w:cs="宋体"/>
          <w:b/>
          <w:bCs/>
          <w:sz w:val="21"/>
          <w:szCs w:val="21"/>
        </w:rPr>
      </w:pPr>
      <w:bookmarkStart w:id="80" w:name="_Toc988969"/>
      <w:r>
        <w:rPr>
          <w:rFonts w:ascii="宋体" w:hAnsi="宋体" w:eastAsia="宋体" w:cs="宋体"/>
          <w:b/>
          <w:bCs/>
          <w:sz w:val="21"/>
          <w:szCs w:val="21"/>
        </w:rPr>
        <w:t>1、内部控制建设及实施情况</w:t>
      </w:r>
      <w:bookmarkEnd w:id="80"/>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报告期内，公司从治理层面到各个工作流程层面均建立了系统而有效的内控体系并持续完善。董事会负责内控的建立健全和有效实施；审计委员会协助制定和审查公司内控体系，对重大关联交易进行审计、监督；合规管理部负责公司内部控制的具体组织实施工作；企业、部室负责人具体承担本企业、部室内部控制工作；监事会对董事会建立与实施的内控进行监督。公司根据《企业内部控制基本规范》及其配套指引的规定建立了上述内控组织架构，界定了公司各岗位的工作目标和职责权限，建立了相应的制衡和监督机制，确保各岗位在权限范围内履行职务。</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根据公司财务报告内部控制重大缺陷的认定情况，于内部控制评价报告基准日，不存在财务报告内部控制重大缺陷。公司已按照企业内部控制规范体系和相关规定的要求在所有重大方面保持了有效的财务报告内部控制。</w:t>
      </w:r>
    </w:p>
    <w:p>
      <w:pPr>
        <w:keepNext/>
        <w:keepLines/>
        <w:spacing w:before="300" w:after="300" w:line="280" w:lineRule="exact"/>
        <w:jc w:val="left"/>
        <w:outlineLvl w:val="2"/>
        <w:rPr>
          <w:rFonts w:ascii="宋体" w:hAnsi="宋体" w:eastAsia="宋体" w:cs="宋体"/>
          <w:b/>
          <w:bCs/>
          <w:sz w:val="21"/>
          <w:szCs w:val="21"/>
        </w:rPr>
      </w:pPr>
      <w:bookmarkStart w:id="81" w:name="_Toc988970"/>
      <w:r>
        <w:rPr>
          <w:rFonts w:ascii="宋体" w:hAnsi="宋体" w:eastAsia="宋体" w:cs="宋体"/>
          <w:b/>
          <w:bCs/>
          <w:sz w:val="21"/>
          <w:szCs w:val="21"/>
        </w:rPr>
        <w:t>2、报告期内发现的内部控制重大缺陷的具体情况</w:t>
      </w:r>
      <w:bookmarkEnd w:id="8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82" w:name="_Toc988971"/>
      <w:r>
        <w:rPr>
          <w:rFonts w:ascii="宋体" w:hAnsi="宋体" w:eastAsia="宋体" w:cs="宋体"/>
          <w:b/>
          <w:bCs/>
          <w:sz w:val="24"/>
          <w:szCs w:val="24"/>
        </w:rPr>
        <w:t>十三、公司报告期内对子公司的管理控制情况</w:t>
      </w:r>
      <w:bookmarkEnd w:id="82"/>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整合计划</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整合进展</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整合中遇到的问题</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已采取的解决措施</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解决进展</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后续解决计划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bl>
    <w:p>
      <w:pPr>
        <w:keepNext/>
        <w:keepLines/>
        <w:spacing w:before="300" w:after="300" w:line="320" w:lineRule="exact"/>
        <w:jc w:val="left"/>
        <w:outlineLvl w:val="1"/>
        <w:rPr>
          <w:rFonts w:ascii="宋体" w:hAnsi="宋体" w:eastAsia="宋体" w:cs="宋体"/>
          <w:b/>
          <w:bCs/>
          <w:sz w:val="24"/>
          <w:szCs w:val="24"/>
        </w:rPr>
      </w:pPr>
      <w:bookmarkStart w:id="83" w:name="_Toc988972"/>
      <w:r>
        <w:rPr>
          <w:rFonts w:ascii="宋体" w:hAnsi="宋体" w:eastAsia="宋体" w:cs="宋体"/>
          <w:b/>
          <w:bCs/>
          <w:sz w:val="24"/>
          <w:szCs w:val="24"/>
        </w:rPr>
        <w:t>十四、内部控制评价报告或内部控制审计报告</w:t>
      </w:r>
      <w:bookmarkEnd w:id="83"/>
    </w:p>
    <w:p>
      <w:pPr>
        <w:keepNext/>
        <w:keepLines/>
        <w:spacing w:before="300" w:after="300" w:line="280" w:lineRule="exact"/>
        <w:jc w:val="left"/>
        <w:outlineLvl w:val="2"/>
        <w:rPr>
          <w:rFonts w:ascii="宋体" w:hAnsi="宋体" w:eastAsia="宋体" w:cs="宋体"/>
          <w:b/>
          <w:bCs/>
          <w:sz w:val="21"/>
          <w:szCs w:val="21"/>
        </w:rPr>
      </w:pPr>
      <w:bookmarkStart w:id="84" w:name="_Toc988973"/>
      <w:r>
        <w:rPr>
          <w:rFonts w:ascii="宋体" w:hAnsi="宋体" w:eastAsia="宋体" w:cs="宋体"/>
          <w:b/>
          <w:bCs/>
          <w:sz w:val="21"/>
          <w:szCs w:val="21"/>
        </w:rPr>
        <w:t>1、内控评价报告</w:t>
      </w:r>
      <w:bookmarkEnd w:id="84"/>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内部控制评价报告全文披露日期</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2024年03月28日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内部控制评价报告全文披露索引</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详见公司于巨潮资讯网（http://www.cninfo.com.cn）披露的《2023年度内部控制自我评价报告》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纳入评价范围单位资产总额占公司合并财务报表资产总额的比例</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lang w:val="en-US" w:eastAsia="zh-CN"/>
              </w:rPr>
              <w:t>100</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纳入评价范围单位营业收入占公司合并财务报表营业收入的比例</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cs="宋体"/>
                <w:sz w:val="18"/>
                <w:szCs w:val="18"/>
                <w:lang w:val="en-US" w:eastAsia="zh-CN"/>
              </w:rPr>
              <w:t>100</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缺陷认定标准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财务报告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非财务报告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定性标准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1、重大缺陷</w:t>
            </w:r>
            <w:r>
              <w:rPr>
                <w:rFonts w:hint="eastAsia" w:ascii="宋体" w:hAnsi="宋体" w:cs="宋体"/>
                <w:sz w:val="18"/>
                <w:szCs w:val="18"/>
                <w:lang w:eastAsia="zh-CN"/>
              </w:rPr>
              <w:t>：</w:t>
            </w:r>
            <w:r>
              <w:rPr>
                <w:rFonts w:ascii="宋体" w:hAnsi="宋体" w:eastAsia="宋体" w:cs="宋体"/>
                <w:sz w:val="18"/>
                <w:szCs w:val="18"/>
              </w:rPr>
              <w:t>单独缺陷或连同其他缺陷导致不能及时防止或发现并纠正财务报告中的重大错报。出现下列情形的,认定为重大缺陷</w:t>
            </w:r>
            <w:r>
              <w:rPr>
                <w:rFonts w:hint="eastAsia" w:ascii="宋体" w:hAnsi="宋体" w:cs="宋体"/>
                <w:sz w:val="18"/>
                <w:szCs w:val="18"/>
                <w:lang w:eastAsia="zh-CN"/>
              </w:rPr>
              <w:t>；</w:t>
            </w:r>
            <w:r>
              <w:rPr>
                <w:rFonts w:ascii="宋体" w:hAnsi="宋体" w:eastAsia="宋体" w:cs="宋体"/>
                <w:sz w:val="18"/>
                <w:szCs w:val="18"/>
              </w:rPr>
              <w:t xml:space="preserve"> </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（1）管理层舞弊导致财务结果出现重大错报或提供虚假财务报告，误导财务报告使用者，造成决策失误，并引起诉讼</w:t>
            </w:r>
            <w:r>
              <w:rPr>
                <w:rFonts w:hint="eastAsia" w:ascii="宋体" w:hAnsi="宋体" w:cs="宋体"/>
                <w:sz w:val="18"/>
                <w:szCs w:val="18"/>
                <w:lang w:eastAsia="zh-CN"/>
              </w:rPr>
              <w:t>；</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（2）控制环境无效</w:t>
            </w:r>
            <w:r>
              <w:rPr>
                <w:rFonts w:hint="eastAsia" w:ascii="宋体" w:hAnsi="宋体" w:cs="宋体"/>
                <w:sz w:val="18"/>
                <w:szCs w:val="18"/>
                <w:lang w:eastAsia="zh-CN"/>
              </w:rPr>
              <w:t>；</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（3）发现并报告管理层的重大内控缺陷在经过合理的时间后,并未加以改正</w:t>
            </w:r>
            <w:r>
              <w:rPr>
                <w:rFonts w:hint="eastAsia" w:ascii="宋体" w:hAnsi="宋体" w:cs="宋体"/>
                <w:sz w:val="18"/>
                <w:szCs w:val="18"/>
                <w:lang w:eastAsia="zh-CN"/>
              </w:rPr>
              <w:t>；</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（4）公司重大事项的决策未履行相应的决策程序，导致公司重大损失； </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（5）涉及公司生产经营的重要业务缺乏有效控制</w:t>
            </w:r>
            <w:r>
              <w:rPr>
                <w:rFonts w:hint="eastAsia" w:ascii="宋体" w:hAnsi="宋体" w:cs="宋体"/>
                <w:sz w:val="18"/>
                <w:szCs w:val="18"/>
                <w:lang w:eastAsia="zh-CN"/>
              </w:rPr>
              <w:t>；</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（6）其他对报表使用者的正确判断造成严重误导，导致公司重大赔偿情况的缺陷。 </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2、重要缺陷</w:t>
            </w:r>
            <w:r>
              <w:rPr>
                <w:rFonts w:hint="eastAsia" w:ascii="宋体" w:hAnsi="宋体" w:cs="宋体"/>
                <w:sz w:val="18"/>
                <w:szCs w:val="18"/>
                <w:lang w:eastAsia="zh-CN"/>
              </w:rPr>
              <w:t>：</w:t>
            </w:r>
            <w:r>
              <w:rPr>
                <w:rFonts w:ascii="宋体" w:hAnsi="宋体" w:eastAsia="宋体" w:cs="宋体"/>
                <w:sz w:val="18"/>
                <w:szCs w:val="18"/>
              </w:rPr>
              <w:t>单独缺陷或连同其他缺陷导致不能及时防止或发现并纠正财务报告中虽然未达到和超过重要性水平,仍应引起管理层重视的错报。出现下列情形的,认定为重要缺陷</w:t>
            </w:r>
            <w:r>
              <w:rPr>
                <w:rFonts w:hint="eastAsia" w:ascii="宋体" w:hAnsi="宋体" w:cs="宋体"/>
                <w:sz w:val="18"/>
                <w:szCs w:val="18"/>
                <w:lang w:eastAsia="zh-CN"/>
              </w:rPr>
              <w:t>：</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（1）未依照公认会计准则选择和应用会计政策；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（2）未建立反舞弊程序和控制措施；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（3）对于非常规或特殊交易的账务处理没有建立相应的控制机制或没有实施且没有相应的补偿性控制；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（4）对于期末财务报告过程的控制存在一项或多项缺陷且不能合理保证编制的财务报表达到真实、准确的目标。 </w:t>
            </w:r>
          </w:p>
          <w:p>
            <w:pPr>
              <w:spacing w:before="0" w:after="0" w:line="240" w:lineRule="exact"/>
              <w:jc w:val="left"/>
              <w:rPr>
                <w:rFonts w:ascii="宋体" w:hAnsi="宋体" w:eastAsia="宋体" w:cs="宋体"/>
                <w:sz w:val="18"/>
                <w:szCs w:val="18"/>
              </w:rPr>
            </w:pPr>
            <w:r>
              <w:rPr>
                <w:rFonts w:ascii="宋体" w:hAnsi="宋体" w:eastAsia="宋体" w:cs="宋体"/>
                <w:sz w:val="18"/>
                <w:szCs w:val="18"/>
              </w:rPr>
              <w:t>3、一般缺陷是指除上述重大缺陷、重要缺陷之外的其他控制缺陷。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1、重大缺陷： </w:t>
            </w:r>
          </w:p>
          <w:p>
            <w:pPr>
              <w:spacing w:before="0" w:after="0" w:line="240" w:lineRule="exact"/>
              <w:jc w:val="left"/>
              <w:rPr>
                <w:rFonts w:ascii="宋体" w:hAnsi="宋体" w:eastAsia="宋体" w:cs="宋体"/>
                <w:sz w:val="18"/>
                <w:szCs w:val="18"/>
              </w:rPr>
            </w:pPr>
            <w:r>
              <w:rPr>
                <w:rFonts w:ascii="宋体" w:hAnsi="宋体" w:eastAsia="宋体" w:cs="宋体"/>
                <w:sz w:val="18"/>
                <w:szCs w:val="18"/>
              </w:rPr>
              <w:t>（1）重大决策违反公司规定程序，造成公司重大损失；</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（2）严重违反法律、法规，造成公司重大损失；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（3）重要业务缺乏制度控制或制度系统性失败;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（4）核心管理人员或核心技术人员严重流失;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（5）内控评价结果中的重大缺陷未得到整改;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（6）信息披露内部控制失效，导致公司被监管部门公开谴责。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2、重要缺陷：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（1）公司违反企业内部规章，形成较大损失；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（2）公司关键岗位业务人员流失较严重；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（3）公司重要业务制度或系统存在缺陷； </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（4）公司内部控制重要缺陷未得到整改。 </w:t>
            </w:r>
          </w:p>
          <w:p>
            <w:pPr>
              <w:spacing w:before="0" w:after="0" w:line="240" w:lineRule="exact"/>
              <w:jc w:val="left"/>
              <w:rPr>
                <w:rFonts w:ascii="宋体" w:hAnsi="宋体" w:eastAsia="宋体" w:cs="宋体"/>
                <w:sz w:val="18"/>
                <w:szCs w:val="18"/>
              </w:rPr>
            </w:pPr>
            <w:r>
              <w:rPr>
                <w:rFonts w:ascii="宋体" w:hAnsi="宋体" w:eastAsia="宋体" w:cs="宋体"/>
                <w:sz w:val="18"/>
                <w:szCs w:val="18"/>
              </w:rPr>
              <w:t>3、一般缺陷：是指除上述重大缺陷、重要缺陷之外的其他控制缺陷。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定量标准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1、重大缺陷：错报＞利润总额的10%，且绝对金额＞ 1000万元；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2、重要缺陷：利润总额的5%﹤错报≤利润总额的10%，且绝对金额＞500万元；或500万元＜绝对金额≤1000 万元，且错报金额＞利润总额的5%；</w:t>
            </w:r>
          </w:p>
          <w:p>
            <w:pPr>
              <w:spacing w:before="0" w:after="0" w:line="240" w:lineRule="exact"/>
              <w:jc w:val="left"/>
              <w:rPr>
                <w:rFonts w:ascii="宋体" w:hAnsi="宋体" w:eastAsia="宋体" w:cs="宋体"/>
                <w:sz w:val="18"/>
                <w:szCs w:val="18"/>
              </w:rPr>
            </w:pPr>
            <w:r>
              <w:rPr>
                <w:rFonts w:ascii="宋体" w:hAnsi="宋体" w:eastAsia="宋体" w:cs="宋体"/>
                <w:sz w:val="18"/>
                <w:szCs w:val="18"/>
              </w:rPr>
              <w:t>3、一般缺陷：错报≤利润总额的5%，或绝对金额≤500万元。</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1、重大缺陷：损失金额＞归属于母公司所有者权益的 1.5%，且绝对金额＞1000 万元；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2、重要缺陷：归属于母公司所有者权益的0.5%＜损失金额≤归属于母公司所有者权益的1.5%，或500万元＜绝对金额≤1000万元；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3、一般缺陷：损失金额≤归属于母公司所有者权益的 0.5%，或绝对金额≤500万元。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财务报告重大缺陷数量（个）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非财务报告重大缺陷数量（个）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财务报告重要缺陷数量（个）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非财务报告重要缺陷数量（个）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keepNext/>
        <w:keepLines/>
        <w:spacing w:before="300" w:after="300" w:line="280" w:lineRule="exact"/>
        <w:jc w:val="left"/>
        <w:outlineLvl w:val="2"/>
        <w:rPr>
          <w:rFonts w:ascii="宋体" w:hAnsi="宋体" w:eastAsia="宋体" w:cs="宋体"/>
          <w:b/>
          <w:bCs/>
          <w:sz w:val="21"/>
          <w:szCs w:val="21"/>
        </w:rPr>
      </w:pPr>
      <w:bookmarkStart w:id="85" w:name="_Toc988974"/>
      <w:r>
        <w:rPr>
          <w:rFonts w:ascii="宋体" w:hAnsi="宋体" w:eastAsia="宋体" w:cs="宋体"/>
          <w:b/>
          <w:bCs/>
          <w:sz w:val="21"/>
          <w:szCs w:val="21"/>
        </w:rPr>
        <w:t>2、内部控制审计报告</w:t>
      </w:r>
      <w:bookmarkEnd w:id="8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内部控制审计报告中的审议意见段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我们认为，特力公司于2023年12月31日按照《企业内部控制基本规范》和相关规定在所有重大方面保持了有效的财务报告内部控制。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内控审计报告披露情况</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披露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内部控制审计报告全文披露日期</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2024年03月2</w:t>
            </w:r>
            <w:r>
              <w:rPr>
                <w:rFonts w:hint="eastAsia" w:ascii="宋体" w:hAnsi="宋体" w:cs="宋体"/>
                <w:sz w:val="18"/>
                <w:szCs w:val="18"/>
                <w:lang w:val="en-US" w:eastAsia="zh-CN"/>
              </w:rPr>
              <w:t>8</w:t>
            </w:r>
            <w:r>
              <w:rPr>
                <w:rFonts w:ascii="宋体" w:hAnsi="宋体" w:eastAsia="宋体" w:cs="宋体"/>
                <w:sz w:val="18"/>
                <w:szCs w:val="18"/>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内部控制审计报告全文披露索引</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巨潮资讯网（http://www.cninfo.com.cn）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内控审计报告意见类型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标准无保留意见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非财务报告是否存在重大缺陷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会计师事务所是否出具非标准意见的内部控制审计报告</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会计师事务所出具的内部控制审计报告与董事会的自我评价报告意见是否一致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keepNext/>
        <w:keepLines/>
        <w:spacing w:before="300" w:after="300" w:line="320" w:lineRule="exact"/>
        <w:jc w:val="left"/>
        <w:outlineLvl w:val="1"/>
        <w:rPr>
          <w:rFonts w:ascii="宋体" w:hAnsi="宋体" w:eastAsia="宋体" w:cs="宋体"/>
          <w:b/>
          <w:bCs/>
          <w:sz w:val="24"/>
          <w:szCs w:val="24"/>
        </w:rPr>
      </w:pPr>
      <w:bookmarkStart w:id="86" w:name="_Toc988975"/>
      <w:r>
        <w:rPr>
          <w:rFonts w:ascii="宋体" w:hAnsi="宋体" w:eastAsia="宋体" w:cs="宋体"/>
          <w:b/>
          <w:bCs/>
          <w:sz w:val="24"/>
          <w:szCs w:val="24"/>
        </w:rPr>
        <w:t>十五、上市公司治理专项行动自查问题整改情况</w:t>
      </w:r>
      <w:bookmarkEnd w:id="86"/>
    </w:p>
    <w:p>
      <w:pPr>
        <w:pStyle w:val="8"/>
        <w:keepNext w:val="0"/>
        <w:keepLines w:val="0"/>
        <w:widowControl/>
        <w:suppressLineNumbers w:val="0"/>
      </w:pPr>
      <w:r>
        <w:rPr>
          <w:rFonts w:hint="eastAsia"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87" w:name="_Toc988976"/>
      <w:r>
        <w:rPr>
          <w:rFonts w:ascii="宋体" w:hAnsi="宋体" w:eastAsia="宋体" w:cs="宋体"/>
          <w:b/>
          <w:bCs/>
          <w:sz w:val="32"/>
          <w:szCs w:val="32"/>
        </w:rPr>
        <w:t>第五节 环境和社会责任</w:t>
      </w:r>
      <w:bookmarkEnd w:id="87"/>
    </w:p>
    <w:p>
      <w:pPr>
        <w:keepNext/>
        <w:keepLines/>
        <w:spacing w:before="300" w:after="300" w:line="320" w:lineRule="exact"/>
        <w:jc w:val="left"/>
        <w:outlineLvl w:val="1"/>
        <w:rPr>
          <w:rFonts w:ascii="宋体" w:hAnsi="宋体" w:eastAsia="宋体" w:cs="宋体"/>
          <w:b/>
          <w:bCs/>
          <w:sz w:val="24"/>
          <w:szCs w:val="24"/>
        </w:rPr>
      </w:pPr>
      <w:bookmarkStart w:id="88" w:name="_Toc988977"/>
      <w:r>
        <w:rPr>
          <w:rFonts w:ascii="宋体" w:hAnsi="宋体" w:eastAsia="宋体" w:cs="宋体"/>
          <w:b/>
          <w:bCs/>
          <w:sz w:val="24"/>
          <w:szCs w:val="24"/>
        </w:rPr>
        <w:t>一、重大环保问题</w:t>
      </w:r>
      <w:bookmarkEnd w:id="88"/>
    </w:p>
    <w:p>
      <w:pPr>
        <w:spacing w:before="100" w:after="100" w:line="240" w:lineRule="exact"/>
        <w:jc w:val="left"/>
        <w:rPr>
          <w:rFonts w:ascii="宋体" w:hAnsi="宋体" w:eastAsia="宋体" w:cs="宋体"/>
          <w:sz w:val="18"/>
          <w:szCs w:val="18"/>
        </w:rPr>
      </w:pPr>
      <w:r>
        <w:rPr>
          <w:rFonts w:ascii="宋体" w:hAnsi="宋体" w:eastAsia="宋体" w:cs="宋体"/>
          <w:sz w:val="18"/>
          <w:szCs w:val="18"/>
        </w:rPr>
        <w:t>上市公司及其子公司是否属于环境保护部门公布的重点排污单位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报告期内因环境问题受到行政处罚的情况</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公司或子公司名称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违规情形</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处罚结果</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对上市公司生产经营的影响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公司的整改措施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参照重点排污单位披露的其他环境信息</w:t>
      </w:r>
    </w:p>
    <w:p>
      <w:pPr>
        <w:pStyle w:val="8"/>
        <w:keepNext w:val="0"/>
        <w:keepLines w:val="0"/>
        <w:widowControl/>
        <w:suppressLineNumbers w:val="0"/>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sz w:val="18"/>
          <w:szCs w:val="18"/>
        </w:rPr>
        <w:t>公司及子公司报告期内未有因环境问题受到行政处罚的情况发生。</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在报告期内为减少其碳排放所采取的措施及效果</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sz w:val="21"/>
          <w:szCs w:val="21"/>
        </w:rPr>
      </w:pPr>
      <w:r>
        <w:rPr>
          <w:rFonts w:ascii="宋体" w:hAnsi="宋体" w:eastAsia="宋体" w:cs="宋体"/>
          <w:sz w:val="18"/>
          <w:szCs w:val="18"/>
        </w:rPr>
        <w:t>未披露其他环境信息的原因</w:t>
      </w:r>
      <w:r>
        <w:rPr>
          <w:rFonts w:hint="eastAsia" w:ascii="宋体" w:hAnsi="宋体" w:cs="宋体"/>
          <w:sz w:val="18"/>
          <w:szCs w:val="18"/>
          <w:lang w:eastAsia="zh-CN"/>
        </w:rPr>
        <w:t>：</w:t>
      </w:r>
      <w:r>
        <w:rPr>
          <w:rFonts w:hint="eastAsia" w:ascii="宋体" w:hAnsi="宋体" w:eastAsia="宋体" w:cs="宋体"/>
          <w:sz w:val="18"/>
          <w:szCs w:val="18"/>
        </w:rPr>
        <w:t>公司及子公司不属于环境保护部门公布的重点排污单位，报告期内未出现因违法违规而受到处罚的情况。</w:t>
      </w:r>
    </w:p>
    <w:p>
      <w:pPr>
        <w:keepNext/>
        <w:keepLines/>
        <w:spacing w:before="300" w:after="300" w:line="320" w:lineRule="exact"/>
        <w:jc w:val="left"/>
        <w:outlineLvl w:val="1"/>
        <w:rPr>
          <w:rFonts w:ascii="宋体" w:hAnsi="宋体" w:eastAsia="宋体" w:cs="宋体"/>
          <w:b/>
          <w:bCs/>
          <w:sz w:val="24"/>
          <w:szCs w:val="24"/>
        </w:rPr>
      </w:pPr>
      <w:bookmarkStart w:id="89" w:name="_Toc988978"/>
      <w:r>
        <w:rPr>
          <w:rFonts w:ascii="宋体" w:hAnsi="宋体" w:eastAsia="宋体" w:cs="宋体"/>
          <w:b/>
          <w:bCs/>
          <w:sz w:val="24"/>
          <w:szCs w:val="24"/>
        </w:rPr>
        <w:t>二、社会责任情况</w:t>
      </w:r>
      <w:bookmarkEnd w:id="89"/>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公司以回报股东、成就员工、回馈社会为己任。公司本着公允原则，积极维护股东的合法权益；倡导在实现企业价值的同时，实现自我价值，营造共同和谐发展的企业氛围，开展各项赛事和活动30余次；积极回报社会与公众，彰显国企担当，全年开展送清凉活动16次，志愿者活动</w:t>
      </w:r>
      <w:r>
        <w:rPr>
          <w:rFonts w:hint="eastAsia" w:ascii="宋体" w:hAnsi="宋体" w:cs="宋体"/>
          <w:sz w:val="21"/>
          <w:szCs w:val="21"/>
          <w:lang w:val="en-US" w:eastAsia="zh-CN"/>
        </w:rPr>
        <w:t>7</w:t>
      </w:r>
      <w:r>
        <w:rPr>
          <w:rFonts w:hint="eastAsia" w:ascii="宋体" w:hAnsi="宋体" w:eastAsia="宋体" w:cs="宋体"/>
          <w:sz w:val="21"/>
          <w:szCs w:val="21"/>
        </w:rPr>
        <w:t>次，组织开展笋岗街道桃花园小区一楼商铺门店清理小广告活动，助力社区环境建设。</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2023年，公司未发生安全生产责任事故。公司进一步压实主体责任，全员签订146份安全生产责任书，完成16场372人次参加的安全生产教育培训，开展6场482人次参加的生产安全事故应急演练，排查隐患700余项并按期整改闭环；聘请第三方专业机构，评估安全生产管理体系，破解安全管理痛点难点问题，为管理提升提供思路和方法支撑。</w:t>
      </w:r>
    </w:p>
    <w:p>
      <w:pPr>
        <w:keepNext/>
        <w:keepLines/>
        <w:spacing w:before="300" w:after="300" w:line="320" w:lineRule="exact"/>
        <w:jc w:val="left"/>
        <w:outlineLvl w:val="1"/>
        <w:rPr>
          <w:rFonts w:ascii="宋体" w:hAnsi="宋体" w:eastAsia="宋体" w:cs="宋体"/>
          <w:b/>
          <w:bCs/>
          <w:sz w:val="24"/>
          <w:szCs w:val="24"/>
        </w:rPr>
      </w:pPr>
      <w:bookmarkStart w:id="90" w:name="_Toc988979"/>
      <w:r>
        <w:rPr>
          <w:rFonts w:ascii="宋体" w:hAnsi="宋体" w:eastAsia="宋体" w:cs="宋体"/>
          <w:b/>
          <w:bCs/>
          <w:sz w:val="24"/>
          <w:szCs w:val="24"/>
        </w:rPr>
        <w:t>三、巩固拓展脱贫攻坚成果、乡村振兴的情况</w:t>
      </w:r>
      <w:bookmarkEnd w:id="90"/>
    </w:p>
    <w:p>
      <w:pPr>
        <w:pStyle w:val="8"/>
        <w:keepNext w:val="0"/>
        <w:keepLines w:val="0"/>
        <w:widowControl/>
        <w:suppressLineNumbers w:val="0"/>
        <w:spacing w:before="0" w:beforeAutospacing="0" w:after="0" w:afterAutospacing="0" w:line="360" w:lineRule="auto"/>
        <w:ind w:left="0" w:right="0" w:firstLine="420"/>
        <w:jc w:val="both"/>
      </w:pPr>
      <w:r>
        <w:rPr>
          <w:rFonts w:hint="eastAsia" w:ascii="宋体" w:hAnsi="宋体" w:eastAsia="宋体" w:cs="宋体"/>
          <w:sz w:val="21"/>
          <w:szCs w:val="21"/>
        </w:rPr>
        <w:t>积极响应落实乡村振兴战略</w:t>
      </w:r>
      <w:r>
        <w:rPr>
          <w:rFonts w:hint="eastAsia" w:ascii="宋体" w:hAnsi="宋体" w:cs="宋体"/>
          <w:sz w:val="21"/>
          <w:szCs w:val="21"/>
          <w:lang w:val="en-US" w:eastAsia="zh-CN"/>
        </w:rPr>
        <w:t>部署</w:t>
      </w:r>
      <w:r>
        <w:rPr>
          <w:rFonts w:hint="eastAsia" w:ascii="宋体" w:hAnsi="宋体" w:eastAsia="宋体" w:cs="宋体"/>
          <w:sz w:val="21"/>
          <w:szCs w:val="21"/>
        </w:rPr>
        <w:t>，选派专人驻汕头市成田镇开展帮扶工作，组织</w:t>
      </w:r>
      <w:r>
        <w:rPr>
          <w:rFonts w:hint="eastAsia" w:ascii="宋体" w:hAnsi="宋体" w:cs="宋体"/>
          <w:sz w:val="21"/>
          <w:szCs w:val="21"/>
          <w:lang w:val="en-US" w:eastAsia="zh-CN"/>
        </w:rPr>
        <w:t>6</w:t>
      </w:r>
      <w:r>
        <w:rPr>
          <w:rFonts w:hint="eastAsia" w:ascii="宋体" w:hAnsi="宋体" w:eastAsia="宋体" w:cs="宋体"/>
          <w:sz w:val="21"/>
          <w:szCs w:val="21"/>
        </w:rPr>
        <w:t>0余名党员和入党积极分子赴成田镇，现场了解乡村振兴建设情况，慰问村中困难老党员，并与成田镇上盐村党组织签署企村组织结对共建协议；</w:t>
      </w:r>
      <w:r>
        <w:rPr>
          <w:rFonts w:hint="eastAsia" w:ascii="宋体" w:hAnsi="宋体" w:cs="宋体"/>
          <w:sz w:val="21"/>
          <w:szCs w:val="21"/>
          <w:lang w:val="en-US" w:eastAsia="zh-CN"/>
        </w:rPr>
        <w:t>自</w:t>
      </w:r>
      <w:r>
        <w:rPr>
          <w:rFonts w:hint="eastAsia" w:ascii="宋体" w:hAnsi="宋体" w:eastAsia="宋体" w:cs="宋体"/>
          <w:sz w:val="21"/>
          <w:szCs w:val="21"/>
        </w:rPr>
        <w:t>2021年起选派1名骨干党员到乡村一线汕头市成田镇上盐村，助力乡村振兴工作，至今服务时长800余天。同时</w:t>
      </w:r>
      <w:r>
        <w:rPr>
          <w:rFonts w:hint="eastAsia" w:ascii="宋体" w:hAnsi="宋体" w:cs="宋体"/>
          <w:sz w:val="21"/>
          <w:szCs w:val="21"/>
          <w:lang w:eastAsia="zh-CN"/>
        </w:rPr>
        <w:t>，</w:t>
      </w:r>
      <w:r>
        <w:rPr>
          <w:rFonts w:hint="eastAsia" w:ascii="宋体" w:hAnsi="宋体" w:eastAsia="宋体" w:cs="宋体"/>
          <w:sz w:val="21"/>
          <w:szCs w:val="21"/>
        </w:rPr>
        <w:t>通过以购代捐的方式消化帮扶地区的农副产品，以消促扶打通农产品销售渠道，用实际行动有力推动当地脱贫帮扶及乡村振兴工作。此外，公司还组织139名员工捐款，筹得款项近1.7万元。</w:t>
      </w:r>
      <w:r>
        <w:br w:type="page"/>
      </w:r>
    </w:p>
    <w:p>
      <w:pPr>
        <w:keepNext/>
        <w:keepLines/>
        <w:spacing w:before="340" w:after="330" w:line="773" w:lineRule="exact"/>
        <w:jc w:val="center"/>
        <w:outlineLvl w:val="0"/>
        <w:rPr>
          <w:rFonts w:ascii="宋体" w:hAnsi="宋体" w:eastAsia="宋体" w:cs="宋体"/>
          <w:b/>
          <w:bCs/>
          <w:sz w:val="32"/>
          <w:szCs w:val="32"/>
        </w:rPr>
      </w:pPr>
      <w:bookmarkStart w:id="91" w:name="_Toc988980"/>
      <w:r>
        <w:rPr>
          <w:rFonts w:ascii="宋体" w:hAnsi="宋体" w:eastAsia="宋体" w:cs="宋体"/>
          <w:b/>
          <w:bCs/>
          <w:sz w:val="32"/>
          <w:szCs w:val="32"/>
        </w:rPr>
        <w:t>第六节 重要事项</w:t>
      </w:r>
      <w:bookmarkEnd w:id="91"/>
    </w:p>
    <w:p>
      <w:pPr>
        <w:keepNext/>
        <w:keepLines/>
        <w:spacing w:before="300" w:after="300" w:line="320" w:lineRule="exact"/>
        <w:jc w:val="left"/>
        <w:outlineLvl w:val="1"/>
        <w:rPr>
          <w:rFonts w:ascii="宋体" w:hAnsi="宋体" w:eastAsia="宋体" w:cs="宋体"/>
          <w:b/>
          <w:bCs/>
          <w:sz w:val="24"/>
          <w:szCs w:val="24"/>
        </w:rPr>
      </w:pPr>
      <w:bookmarkStart w:id="92" w:name="_Toc988981"/>
      <w:r>
        <w:rPr>
          <w:rFonts w:ascii="宋体" w:hAnsi="宋体" w:eastAsia="宋体" w:cs="宋体"/>
          <w:b/>
          <w:bCs/>
          <w:sz w:val="24"/>
          <w:szCs w:val="24"/>
        </w:rPr>
        <w:t>一、承诺事项履行情况</w:t>
      </w:r>
      <w:bookmarkEnd w:id="92"/>
    </w:p>
    <w:p>
      <w:pPr>
        <w:keepNext/>
        <w:keepLines/>
        <w:spacing w:before="300" w:after="300" w:line="280" w:lineRule="exact"/>
        <w:jc w:val="left"/>
        <w:outlineLvl w:val="2"/>
        <w:rPr>
          <w:rFonts w:ascii="宋体" w:hAnsi="宋体" w:eastAsia="宋体" w:cs="宋体"/>
          <w:b/>
          <w:bCs/>
          <w:sz w:val="21"/>
          <w:szCs w:val="21"/>
        </w:rPr>
      </w:pPr>
      <w:bookmarkStart w:id="93" w:name="_Toc988982"/>
      <w:r>
        <w:rPr>
          <w:rFonts w:ascii="宋体" w:hAnsi="宋体" w:eastAsia="宋体" w:cs="宋体"/>
          <w:b/>
          <w:bCs/>
          <w:sz w:val="21"/>
          <w:szCs w:val="21"/>
        </w:rPr>
        <w:t>1、公司实际控制人、股东、关联方、收购人以及公司等承诺相关方在报告期内履行完毕及截至报告期末尚未履行完毕的承诺事项</w:t>
      </w:r>
      <w:bookmarkEnd w:id="9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10048"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05"/>
        <w:gridCol w:w="1000"/>
        <w:gridCol w:w="633"/>
        <w:gridCol w:w="4983"/>
        <w:gridCol w:w="684"/>
        <w:gridCol w:w="827"/>
        <w:gridCol w:w="6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承诺事由</w:t>
            </w:r>
          </w:p>
        </w:tc>
        <w:tc>
          <w:tcPr>
            <w:tcW w:w="10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承诺方</w:t>
            </w:r>
          </w:p>
        </w:tc>
        <w:tc>
          <w:tcPr>
            <w:tcW w:w="6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承诺类型</w:t>
            </w:r>
          </w:p>
        </w:tc>
        <w:tc>
          <w:tcPr>
            <w:tcW w:w="49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承诺内容</w:t>
            </w:r>
          </w:p>
        </w:tc>
        <w:tc>
          <w:tcPr>
            <w:tcW w:w="6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承诺时间</w:t>
            </w:r>
          </w:p>
        </w:tc>
        <w:tc>
          <w:tcPr>
            <w:tcW w:w="8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承诺期限</w:t>
            </w:r>
          </w:p>
        </w:tc>
        <w:tc>
          <w:tcPr>
            <w:tcW w:w="6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收购报告书或权益变动报告书中所作承诺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深圳市投资控股有限公司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保证上市公司独立性</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本公司将维护上市公司的独立性,与上市公司之间保持人员独立、机构独立、财务独立、资产完整，上市公司仍将具有独立经营能力,拥有独立的采购、生产销售体系，拥有独立的知识产权。</w:t>
            </w:r>
          </w:p>
          <w:p>
            <w:pPr>
              <w:spacing w:before="0" w:after="0" w:line="240" w:lineRule="exact"/>
              <w:jc w:val="left"/>
              <w:rPr>
                <w:rFonts w:ascii="宋体" w:hAnsi="宋体" w:eastAsia="宋体" w:cs="宋体"/>
                <w:sz w:val="18"/>
                <w:szCs w:val="18"/>
              </w:rPr>
            </w:pPr>
            <w:r>
              <w:rPr>
                <w:rFonts w:ascii="宋体" w:hAnsi="宋体" w:eastAsia="宋体" w:cs="宋体"/>
                <w:sz w:val="18"/>
                <w:szCs w:val="18"/>
              </w:rPr>
              <w:t>若违反上述承诺，本公司将承担相应的法律责任，包括但不限于就由此给上市公司造成的全部损失承担赔偿责任。</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2022年12月30日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作为上市公司特力集团间接控股股东期间</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13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收购报告书或权益变动报告书中所作承诺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深圳市投资控股有限公司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避免同业竞争</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截至本承诺函签署日，本公司及本公司控制的其他企业未从事与特力存在直接竞争或可能构成直接竞争的业务及活动,将来也不会从事与特力存在直接竞争或可能构成直接竞争的业务及活动(除基于深圳市国资委或类似政府机构安排的除外）；</w:t>
            </w:r>
          </w:p>
          <w:p>
            <w:pPr>
              <w:spacing w:before="0" w:after="0" w:line="240" w:lineRule="exact"/>
              <w:jc w:val="left"/>
              <w:rPr>
                <w:rFonts w:ascii="宋体" w:hAnsi="宋体" w:eastAsia="宋体" w:cs="宋体"/>
                <w:sz w:val="18"/>
                <w:szCs w:val="18"/>
              </w:rPr>
            </w:pPr>
            <w:r>
              <w:rPr>
                <w:rFonts w:ascii="宋体" w:hAnsi="宋体" w:eastAsia="宋体" w:cs="宋体"/>
                <w:sz w:val="18"/>
                <w:szCs w:val="18"/>
              </w:rPr>
              <w:t>2、在作为特力的间接控股股东且特力在深圳证券交易所上市期间，本公司将充分尊重本公司控制的各子公司的独立经营自主权，保证不侵害特力及其中小股东的合法权益；</w:t>
            </w:r>
          </w:p>
          <w:p>
            <w:pPr>
              <w:spacing w:before="0" w:after="0" w:line="240" w:lineRule="exact"/>
              <w:jc w:val="left"/>
              <w:rPr>
                <w:rFonts w:ascii="宋体" w:hAnsi="宋体" w:eastAsia="宋体" w:cs="宋体"/>
                <w:sz w:val="18"/>
                <w:szCs w:val="18"/>
              </w:rPr>
            </w:pPr>
            <w:r>
              <w:rPr>
                <w:rFonts w:ascii="宋体" w:hAnsi="宋体" w:eastAsia="宋体" w:cs="宋体"/>
                <w:sz w:val="18"/>
                <w:szCs w:val="18"/>
              </w:rPr>
              <w:t>3、本公司承诺不以特力控股股东的地位谋求不正当利益，从而损害特力及其中小股东的权益；</w:t>
            </w:r>
          </w:p>
          <w:p>
            <w:pPr>
              <w:spacing w:before="0" w:after="0" w:line="240" w:lineRule="exact"/>
              <w:jc w:val="left"/>
              <w:rPr>
                <w:rFonts w:ascii="宋体" w:hAnsi="宋体" w:eastAsia="宋体" w:cs="宋体"/>
                <w:sz w:val="18"/>
                <w:szCs w:val="18"/>
              </w:rPr>
            </w:pPr>
            <w:r>
              <w:rPr>
                <w:rFonts w:ascii="宋体" w:hAnsi="宋体" w:eastAsia="宋体" w:cs="宋体"/>
                <w:sz w:val="18"/>
                <w:szCs w:val="18"/>
              </w:rPr>
              <w:t>4、本公司承诺不会利用从特力了解或知悉的信息，协助任何一方从事与特力主营业务存在实质性竞争或潜在竞争的任何经营活动；</w:t>
            </w:r>
          </w:p>
          <w:p>
            <w:pPr>
              <w:spacing w:before="0" w:after="0" w:line="240" w:lineRule="exact"/>
              <w:jc w:val="left"/>
              <w:rPr>
                <w:rFonts w:ascii="宋体" w:hAnsi="宋体" w:eastAsia="宋体" w:cs="宋体"/>
                <w:sz w:val="18"/>
                <w:szCs w:val="18"/>
              </w:rPr>
            </w:pPr>
            <w:r>
              <w:rPr>
                <w:rFonts w:ascii="宋体" w:hAnsi="宋体" w:eastAsia="宋体" w:cs="宋体"/>
                <w:sz w:val="18"/>
                <w:szCs w:val="18"/>
              </w:rPr>
              <w:t>5、如本公司或本公司控制的其他企业违反上述承诺与保证，本公司承担由此给上市公司造成的经济损失。</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2022年12月30日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作为上市公司特力集团间接控股股东期间</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收购报告书或权益变动报告书中所作承诺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深圳市投资控股有限公司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减少及规范关联交易</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1、本公司及本公司控股或实际控制的公司、企业、经济组织(不包括上市公司控制的企业，以下统称“附属公司”)将严格按照法律、法规及其他规范性文件的规定行使股东的权利，履行股东的义务，保持上市公司在资产、财务、人员、业务和机构等方面的独立性</w:t>
            </w:r>
            <w:r>
              <w:rPr>
                <w:rFonts w:hint="eastAsia" w:ascii="宋体" w:hAnsi="宋体" w:cs="宋体"/>
                <w:sz w:val="18"/>
                <w:szCs w:val="18"/>
                <w:lang w:eastAsia="zh-CN"/>
              </w:rPr>
              <w:t>；</w:t>
            </w:r>
          </w:p>
          <w:p>
            <w:pPr>
              <w:spacing w:before="0" w:after="0" w:line="240" w:lineRule="exact"/>
              <w:jc w:val="left"/>
              <w:rPr>
                <w:rFonts w:ascii="宋体" w:hAnsi="宋体" w:eastAsia="宋体" w:cs="宋体"/>
                <w:sz w:val="18"/>
                <w:szCs w:val="18"/>
              </w:rPr>
            </w:pPr>
            <w:r>
              <w:rPr>
                <w:rFonts w:ascii="宋体" w:hAnsi="宋体" w:eastAsia="宋体" w:cs="宋体"/>
                <w:sz w:val="18"/>
                <w:szCs w:val="18"/>
              </w:rPr>
              <w:t>2、本公司承诺不利用控股股东的地位促使上市公司股东大会或董事会做出侵犯上市公司其他股东合法权益的决议;</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3.本公司或附属公司将尽量避免与上市公司之间产生关联交易，对于不可避免与上市公司发生关联交易时,本公司或附属公司自身将促使所控制的主体在平等、自愿的基础上,按照公平合理和正常的商业交易条件与上市公司进行交易</w:t>
            </w:r>
            <w:r>
              <w:rPr>
                <w:rFonts w:hint="eastAsia" w:ascii="宋体" w:hAnsi="宋体" w:cs="宋体"/>
                <w:sz w:val="18"/>
                <w:szCs w:val="18"/>
                <w:lang w:eastAsia="zh-CN"/>
              </w:rPr>
              <w:t>；</w:t>
            </w:r>
          </w:p>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4、本公司或附属公司将严格按照上市公司章程以及相关法律法规的规定履行关联交易决策程序以及相应的信息披露义务</w:t>
            </w:r>
            <w:r>
              <w:rPr>
                <w:rFonts w:hint="eastAsia" w:ascii="宋体" w:hAnsi="宋体" w:cs="宋体"/>
                <w:sz w:val="18"/>
                <w:szCs w:val="18"/>
                <w:lang w:eastAsia="zh-CN"/>
              </w:rPr>
              <w:t>；</w:t>
            </w:r>
          </w:p>
          <w:p>
            <w:pPr>
              <w:spacing w:before="0" w:after="0" w:line="240" w:lineRule="exact"/>
              <w:jc w:val="left"/>
              <w:rPr>
                <w:rFonts w:ascii="宋体" w:hAnsi="宋体" w:eastAsia="宋体" w:cs="宋体"/>
                <w:sz w:val="18"/>
                <w:szCs w:val="18"/>
              </w:rPr>
            </w:pPr>
            <w:r>
              <w:rPr>
                <w:rFonts w:ascii="宋体" w:hAnsi="宋体" w:eastAsia="宋体" w:cs="宋体"/>
                <w:sz w:val="18"/>
                <w:szCs w:val="18"/>
              </w:rPr>
              <w:t>5、本公司或附属公司将确保不通过与上市公司之间的关联交易谋求超出上述规定以外的特殊利益，不利用关联交易非法转移上市公司的资金、利润，不利用关联交易恶意损害上市公司及其股东的合法权益。</w:t>
            </w:r>
          </w:p>
          <w:p>
            <w:pPr>
              <w:spacing w:before="0" w:after="0" w:line="240" w:lineRule="exact"/>
              <w:jc w:val="left"/>
              <w:rPr>
                <w:rFonts w:ascii="宋体" w:hAnsi="宋体" w:eastAsia="宋体" w:cs="宋体"/>
                <w:sz w:val="18"/>
                <w:szCs w:val="18"/>
              </w:rPr>
            </w:pPr>
            <w:r>
              <w:rPr>
                <w:rFonts w:ascii="宋体" w:hAnsi="宋体" w:eastAsia="宋体" w:cs="宋体"/>
                <w:sz w:val="18"/>
                <w:szCs w:val="18"/>
              </w:rPr>
              <w:t>若违反上述承诺，本公司将承担相应的法律责任，包括但不限于就由此给上市公司造成的全部损失承担赔偿责任。</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2022年12月30日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作为上市公司特力集团间接控股股东期间</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首次公开发行或再融资时所作承诺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深圳市特力（集团）股份有限公司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未来，公司将根据新业务的进展情况，按照有关要求及时、准确、充分披露相关信息。</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2014年10月17日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长期</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其他对公司中小股东所作承诺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同业竞争</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公司控股股东深圳市特发集团有限公司于2014年5月26日出具了《关于避免同业竞争的承诺函》。承诺如下：</w:t>
            </w:r>
          </w:p>
          <w:p>
            <w:pPr>
              <w:spacing w:before="0" w:after="0" w:line="240" w:lineRule="exact"/>
              <w:jc w:val="left"/>
              <w:rPr>
                <w:rFonts w:ascii="宋体" w:hAnsi="宋体" w:eastAsia="宋体" w:cs="宋体"/>
                <w:sz w:val="18"/>
                <w:szCs w:val="18"/>
              </w:rPr>
            </w:pPr>
            <w:r>
              <w:rPr>
                <w:rFonts w:ascii="宋体" w:hAnsi="宋体" w:eastAsia="宋体" w:cs="宋体"/>
                <w:sz w:val="18"/>
                <w:szCs w:val="18"/>
              </w:rPr>
              <w:t>1、本公司及本公司控制的除特力集团外的其他企业均未从事与特力集团主营业务存在实质竞争的业务，与特力集团之间均不存在同业竞争关系；</w:t>
            </w:r>
          </w:p>
          <w:p>
            <w:pPr>
              <w:spacing w:before="0" w:after="0" w:line="240" w:lineRule="exact"/>
              <w:jc w:val="left"/>
              <w:rPr>
                <w:rFonts w:ascii="宋体" w:hAnsi="宋体" w:eastAsia="宋体" w:cs="宋体"/>
                <w:sz w:val="18"/>
                <w:szCs w:val="18"/>
              </w:rPr>
            </w:pPr>
            <w:r>
              <w:rPr>
                <w:rFonts w:ascii="宋体" w:hAnsi="宋体" w:eastAsia="宋体" w:cs="宋体"/>
                <w:sz w:val="18"/>
                <w:szCs w:val="18"/>
              </w:rPr>
              <w:t>2、本公司及控制的其他企业，不以任何形式直接或间接从事或参与与特力集团的主营业务构成或可能构成竞争的业务；</w:t>
            </w:r>
          </w:p>
          <w:p>
            <w:pPr>
              <w:spacing w:before="0" w:after="0" w:line="240" w:lineRule="exact"/>
              <w:jc w:val="left"/>
              <w:rPr>
                <w:rFonts w:ascii="宋体" w:hAnsi="宋体" w:eastAsia="宋体" w:cs="宋体"/>
                <w:sz w:val="18"/>
                <w:szCs w:val="18"/>
              </w:rPr>
            </w:pPr>
            <w:r>
              <w:rPr>
                <w:rFonts w:ascii="宋体" w:hAnsi="宋体" w:eastAsia="宋体" w:cs="宋体"/>
                <w:sz w:val="18"/>
                <w:szCs w:val="18"/>
              </w:rPr>
              <w:t>3、本公司及控制的其他企业如遇任何商业机会可从事或参与任何可能与特力集团的主营业务构成竞争的活动，则在实施或签订相关协议前将上述商业机会通知特力集团，如在通知中所指定的合理期间内特力集团作出愿意利用该商业机会的肯定答复，则将该商业机会优先提供给特力集团。</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2014年05月26日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长期</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其他承诺</w:t>
            </w:r>
          </w:p>
        </w:tc>
        <w:tc>
          <w:tcPr>
            <w:tcW w:w="10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深圳市特力（集团）股份有限公司</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分红承诺</w:t>
            </w:r>
          </w:p>
        </w:tc>
        <w:tc>
          <w:tcPr>
            <w:tcW w:w="49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至2025年，公司盈利将首先用于弥补以前年度亏损；弥补以前年度亏损后，在公司盈利、现金流满足正常经营和长期发展的前提下，公司将实施积极的利润分配办法回报股东，具体内容见2023年4月27日披露于巨潮资讯网的《未来三年（2023年-2025年）股东回报规划》。</w:t>
            </w:r>
          </w:p>
        </w:tc>
        <w:tc>
          <w:tcPr>
            <w:tcW w:w="6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2023年04月27日</w:t>
            </w:r>
          </w:p>
        </w:tc>
        <w:tc>
          <w:tcPr>
            <w:tcW w:w="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2025年12月31日</w:t>
            </w:r>
          </w:p>
        </w:tc>
        <w:tc>
          <w:tcPr>
            <w:tcW w:w="6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履行中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承诺是否按时履行</w:t>
            </w:r>
          </w:p>
        </w:tc>
        <w:tc>
          <w:tcPr>
            <w:tcW w:w="8743"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如承诺超期未履行完毕，应当详细说明未完成履行的具体原因及下一步工作计划</w:t>
            </w:r>
          </w:p>
        </w:tc>
        <w:tc>
          <w:tcPr>
            <w:tcW w:w="8743"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bl>
    <w:p>
      <w:pPr>
        <w:keepNext/>
        <w:keepLines/>
        <w:spacing w:before="300" w:after="300" w:line="280" w:lineRule="exact"/>
        <w:jc w:val="left"/>
        <w:outlineLvl w:val="2"/>
        <w:rPr>
          <w:rFonts w:ascii="宋体" w:hAnsi="宋体" w:eastAsia="宋体" w:cs="宋体"/>
          <w:b/>
          <w:bCs/>
          <w:sz w:val="21"/>
          <w:szCs w:val="21"/>
        </w:rPr>
      </w:pPr>
      <w:bookmarkStart w:id="94" w:name="_Toc988983"/>
      <w:r>
        <w:rPr>
          <w:rFonts w:ascii="宋体" w:hAnsi="宋体" w:eastAsia="宋体" w:cs="宋体"/>
          <w:b/>
          <w:bCs/>
          <w:sz w:val="21"/>
          <w:szCs w:val="21"/>
        </w:rPr>
        <w:t>2、公司资产或项目存在盈利预测，且报告期仍处在盈利预测期间，公司就资产或项目达到原盈利预测及其原因做出说明</w:t>
      </w:r>
      <w:bookmarkEnd w:id="9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5" w:name="_Toc988984"/>
      <w:r>
        <w:rPr>
          <w:rFonts w:ascii="宋体" w:hAnsi="宋体" w:eastAsia="宋体" w:cs="宋体"/>
          <w:b/>
          <w:bCs/>
          <w:sz w:val="24"/>
          <w:szCs w:val="24"/>
        </w:rPr>
        <w:t>二、控股股东及其他关联方对上市公司的非经营性占用资金情况</w:t>
      </w:r>
      <w:bookmarkEnd w:id="9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公司报告期不存在控股股东及其他关联方对上市公司的非经营性占用资金。</w:t>
      </w:r>
    </w:p>
    <w:p>
      <w:pPr>
        <w:keepNext/>
        <w:keepLines/>
        <w:spacing w:before="300" w:after="300" w:line="320" w:lineRule="exact"/>
        <w:jc w:val="left"/>
        <w:outlineLvl w:val="1"/>
        <w:rPr>
          <w:rFonts w:ascii="宋体" w:hAnsi="宋体" w:eastAsia="宋体" w:cs="宋体"/>
          <w:b/>
          <w:bCs/>
          <w:sz w:val="24"/>
          <w:szCs w:val="24"/>
        </w:rPr>
      </w:pPr>
      <w:bookmarkStart w:id="96" w:name="_Toc988985"/>
      <w:r>
        <w:rPr>
          <w:rFonts w:ascii="宋体" w:hAnsi="宋体" w:eastAsia="宋体" w:cs="宋体"/>
          <w:b/>
          <w:bCs/>
          <w:sz w:val="24"/>
          <w:szCs w:val="24"/>
        </w:rPr>
        <w:t>三、违规对外担保情况</w:t>
      </w:r>
      <w:bookmarkEnd w:id="9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公司报告期无违规对外担保情况。</w:t>
      </w:r>
    </w:p>
    <w:p>
      <w:pPr>
        <w:keepNext/>
        <w:keepLines/>
        <w:spacing w:before="300" w:after="300" w:line="320" w:lineRule="exact"/>
        <w:jc w:val="left"/>
        <w:outlineLvl w:val="1"/>
        <w:rPr>
          <w:rFonts w:ascii="宋体" w:hAnsi="宋体" w:eastAsia="宋体" w:cs="宋体"/>
          <w:b/>
          <w:bCs/>
          <w:sz w:val="24"/>
          <w:szCs w:val="24"/>
        </w:rPr>
      </w:pPr>
      <w:bookmarkStart w:id="97" w:name="_Toc988986"/>
      <w:r>
        <w:rPr>
          <w:rFonts w:ascii="宋体" w:hAnsi="宋体" w:eastAsia="宋体" w:cs="宋体"/>
          <w:b/>
          <w:bCs/>
          <w:sz w:val="24"/>
          <w:szCs w:val="24"/>
        </w:rPr>
        <w:t>四、董事会对最近一期“非标准审计报告”相关情况的说明</w:t>
      </w:r>
      <w:bookmarkEnd w:id="9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8" w:name="_Toc988987"/>
      <w:r>
        <w:rPr>
          <w:rFonts w:ascii="宋体" w:hAnsi="宋体" w:eastAsia="宋体" w:cs="宋体"/>
          <w:b/>
          <w:bCs/>
          <w:sz w:val="24"/>
          <w:szCs w:val="24"/>
        </w:rPr>
        <w:t>五、董事会、监事会、独立董事（如有）对会计师事务所本报告期“非标准审计报告”的说明</w:t>
      </w:r>
      <w:bookmarkEnd w:id="9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9" w:name="_Toc988988"/>
      <w:r>
        <w:rPr>
          <w:rFonts w:ascii="宋体" w:hAnsi="宋体" w:eastAsia="宋体" w:cs="宋体"/>
          <w:b/>
          <w:bCs/>
          <w:sz w:val="24"/>
          <w:szCs w:val="24"/>
        </w:rPr>
        <w:t xml:space="preserve">六、与上年度财务报告相比，会计政策、会计估计变更或重大会计差错更正的情况说明 </w:t>
      </w:r>
      <w:bookmarkEnd w:id="9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财政部于2022</w:t>
      </w:r>
      <w:r>
        <w:rPr>
          <w:rFonts w:hint="default" w:ascii="宋体" w:hAnsi="宋体" w:eastAsia="宋体" w:cs="宋体"/>
          <w:sz w:val="21"/>
          <w:szCs w:val="21"/>
        </w:rPr>
        <w:t>年11月发布了《企业会计准则解释第16号》（财会〔2022〕31号）（以下简称“解释第16号”）。解释第16号规定，对于不是企业合并、交易发生时既不影响会计利润也不影响应纳税所得额（或可抵扣亏损）、且初始确认的资产和负债导致产生等额应纳税暂时性差异和可抵扣暂时性差异的单项交易，因资产和负债的初始确认所产生的应纳税暂时性差异和可抵扣暂时性差异，应当根据《企业会计准则第18号——所得税》等有关规定，在交易发生时分别确认相应的递延所得税负债和递延所得税资产。对于在首次施行上述规定的财务报表列报最早期间的期初至本解释施行日之间发生的上述交易，企业应当按照上述规定，将累积影响数调整财务报表列报最早期间的期初留存收益及其他相关财务报表项目。上述会计处理规定自2023年1月1日起施行。</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本公司对租赁业务确认的租赁负债和使用权资产，产生应纳税暂时性差异和可抵扣暂时性差异的，按照解释第16号的规定进行调整。</w:t>
      </w:r>
    </w:p>
    <w:p>
      <w:pPr>
        <w:keepNext/>
        <w:keepLines/>
        <w:spacing w:before="300" w:after="300" w:line="320" w:lineRule="exact"/>
        <w:jc w:val="left"/>
        <w:outlineLvl w:val="1"/>
        <w:rPr>
          <w:rFonts w:ascii="宋体" w:hAnsi="宋体" w:eastAsia="宋体" w:cs="宋体"/>
          <w:b/>
          <w:bCs/>
          <w:sz w:val="24"/>
          <w:szCs w:val="24"/>
        </w:rPr>
      </w:pPr>
      <w:bookmarkStart w:id="100" w:name="_Toc988989"/>
      <w:r>
        <w:rPr>
          <w:rFonts w:ascii="宋体" w:hAnsi="宋体" w:eastAsia="宋体" w:cs="宋体"/>
          <w:b/>
          <w:bCs/>
          <w:sz w:val="24"/>
          <w:szCs w:val="24"/>
        </w:rPr>
        <w:t>七、与上年度财务报告相比，合并报表范围发生变化的情况说明</w:t>
      </w:r>
      <w:bookmarkEnd w:id="10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子公司特发华日营业期限届满前后，本公司曾与日方企业多次沟通关于特发华日营业期限延长、股权买卖、解散清算等事宜，但均未达成一致。在特发华日营业期限已届满，且公司与日方股东无法在特发华日营业期限届满之日起十五日内成立清算组进行清算的情况下，本公司作为持有特发华日60%股权的股东，根据《中华人民共和国公司法》第一百八十条、第一百八十三条、《最高人民法院关于适用〈中华人民共和国公司法〉若干问题的规定（二）》第七条等规定，2022年10月申请由人民法院指定清算组对特发华日进行强制清算。</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2022年12月21日广东省深圳前海合作区人民法院出具2023粤0391清申9号民事裁定书，决定受理本公司对特发华日的清算申请。</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2023年3月21日本公司收到深圳前海合作区人民法院送达的《指定清算组决定书》（[2023]粤0391强清4号），法院指定北京市金杜（深圳）律师事务所为特发华日清算组。清算组向法院报告工作，接受法院、公司债权人和股东的监督，在清算期间按照法定程序行使</w:t>
      </w:r>
      <w:r>
        <w:rPr>
          <w:rFonts w:hint="eastAsia" w:ascii="宋体" w:hAnsi="宋体" w:eastAsia="宋体" w:cs="宋体"/>
          <w:kern w:val="0"/>
          <w:sz w:val="21"/>
          <w:szCs w:val="21"/>
        </w:rPr>
        <w:t>接管特发华日财产、印章和账簿以及决定特发华日内部管理事务、日常开支和其他必要开支等</w:t>
      </w:r>
      <w:r>
        <w:rPr>
          <w:rFonts w:hint="default" w:ascii="宋体" w:hAnsi="宋体" w:eastAsia="宋体" w:cs="宋体"/>
          <w:sz w:val="21"/>
          <w:szCs w:val="21"/>
        </w:rPr>
        <w:t>各项职权。</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根据公司法相关规定，法院指定的清算组在清算期间内负责对公司财产进行保管、清理及处置，清偿债务以及处理未了结业务，直至公司最终注销。在此期间，特力集团作为股东无法再对特发华日的经营决策进行控制，且不能单方面申请法院撤销对特发华日的清算。由此，在法院指定清算组后，特力集团丧失对特发华日的控制权，且无重大影响，不应再将特发华日纳入合并范围。</w:t>
      </w:r>
    </w:p>
    <w:p>
      <w:pPr>
        <w:keepNext/>
        <w:keepLines/>
        <w:spacing w:before="300" w:after="300" w:line="320" w:lineRule="exact"/>
        <w:jc w:val="left"/>
        <w:outlineLvl w:val="1"/>
        <w:rPr>
          <w:rFonts w:ascii="宋体" w:hAnsi="宋体" w:eastAsia="宋体" w:cs="宋体"/>
          <w:b/>
          <w:bCs/>
          <w:sz w:val="24"/>
          <w:szCs w:val="24"/>
        </w:rPr>
      </w:pPr>
      <w:bookmarkStart w:id="101" w:name="_Toc988990"/>
      <w:r>
        <w:rPr>
          <w:rFonts w:ascii="宋体" w:hAnsi="宋体" w:eastAsia="宋体" w:cs="宋体"/>
          <w:b/>
          <w:bCs/>
          <w:sz w:val="24"/>
          <w:szCs w:val="24"/>
        </w:rPr>
        <w:t>八、聘任、解聘会计师事务所情况</w:t>
      </w:r>
      <w:bookmarkEnd w:id="101"/>
    </w:p>
    <w:p>
      <w:pPr>
        <w:spacing w:before="100" w:after="100" w:line="240" w:lineRule="exact"/>
        <w:jc w:val="left"/>
        <w:rPr>
          <w:rFonts w:ascii="宋体" w:hAnsi="宋体" w:eastAsia="宋体" w:cs="宋体"/>
          <w:sz w:val="18"/>
          <w:szCs w:val="18"/>
        </w:rPr>
      </w:pPr>
      <w:r>
        <w:rPr>
          <w:rFonts w:ascii="宋体" w:hAnsi="宋体" w:eastAsia="宋体" w:cs="宋体"/>
          <w:sz w:val="18"/>
          <w:szCs w:val="18"/>
        </w:rPr>
        <w:t>现聘任的会计师事务所</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致同会计师事务所（特殊普通合伙）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境内会计师事务所报酬（万元）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境内会计师事务所审计服务的连续年限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境内会计师事务所注册会计师姓名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吴亮、谢明明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境内会计师事务所注册会计师审计服务的连续年限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吴亮1年、谢明明1年</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当期是否改聘会计师事务所</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是否在审计期间改聘会计师事务所</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更换会计师事务所是否履行审批程序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100" w:after="100" w:line="240" w:lineRule="exact"/>
        <w:jc w:val="left"/>
        <w:rPr>
          <w:rFonts w:hint="eastAsia" w:ascii="宋体" w:hAnsi="宋体" w:eastAsia="宋体" w:cs="宋体"/>
          <w:sz w:val="18"/>
          <w:szCs w:val="18"/>
          <w:lang w:eastAsia="zh-CN"/>
        </w:rPr>
      </w:pPr>
      <w:r>
        <w:rPr>
          <w:rFonts w:ascii="宋体" w:hAnsi="宋体" w:eastAsia="宋体" w:cs="宋体"/>
          <w:sz w:val="18"/>
          <w:szCs w:val="18"/>
        </w:rPr>
        <w:t>对改聘、变更会计师事务所情况的详细说明</w:t>
      </w:r>
      <w:r>
        <w:rPr>
          <w:rFonts w:hint="eastAsia" w:ascii="宋体" w:hAnsi="宋体" w:cs="宋体"/>
          <w:sz w:val="18"/>
          <w:szCs w:val="18"/>
          <w:lang w:eastAsia="zh-CN"/>
        </w:rPr>
        <w:t>：</w:t>
      </w:r>
    </w:p>
    <w:p>
      <w:pPr>
        <w:pStyle w:val="8"/>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default" w:ascii="宋体" w:hAnsi="宋体" w:eastAsia="宋体" w:cs="宋体"/>
          <w:sz w:val="21"/>
          <w:szCs w:val="21"/>
        </w:rPr>
        <w:t>鉴于容诚会计师事务所（特殊普通合伙）</w:t>
      </w:r>
      <w:r>
        <w:rPr>
          <w:rFonts w:hint="eastAsia" w:ascii="宋体" w:hAnsi="宋体" w:eastAsia="宋体" w:cs="宋体"/>
          <w:sz w:val="21"/>
          <w:szCs w:val="21"/>
        </w:rPr>
        <w:t>（以下简称“容诚会计师事务所”）已连续多年为公司提供审计服务，综合考虑公司发展情况及审计工作需要，</w:t>
      </w:r>
      <w:r>
        <w:rPr>
          <w:rFonts w:hint="eastAsia" w:ascii="宋体" w:hAnsi="宋体" w:cs="宋体"/>
          <w:sz w:val="21"/>
          <w:szCs w:val="21"/>
          <w:lang w:val="en-US" w:eastAsia="zh-CN"/>
        </w:rPr>
        <w:t>在</w:t>
      </w:r>
      <w:r>
        <w:rPr>
          <w:rFonts w:hint="default" w:ascii="宋体" w:hAnsi="宋体" w:eastAsia="宋体" w:cs="宋体"/>
          <w:sz w:val="21"/>
          <w:szCs w:val="21"/>
        </w:rPr>
        <w:t>容诚会计师事务所</w:t>
      </w:r>
      <w:r>
        <w:rPr>
          <w:rFonts w:hint="eastAsia" w:ascii="宋体" w:hAnsi="宋体" w:cs="宋体"/>
          <w:sz w:val="21"/>
          <w:szCs w:val="21"/>
          <w:lang w:val="en-US" w:eastAsia="zh-CN"/>
        </w:rPr>
        <w:t>合作到期后，经公司董事会、股东大会审议，</w:t>
      </w:r>
      <w:r>
        <w:rPr>
          <w:rFonts w:hint="eastAsia" w:ascii="宋体" w:hAnsi="宋体" w:eastAsia="宋体" w:cs="宋体"/>
          <w:sz w:val="21"/>
          <w:szCs w:val="21"/>
        </w:rPr>
        <w:t>变更</w:t>
      </w:r>
      <w:r>
        <w:rPr>
          <w:rFonts w:hint="eastAsia" w:ascii="宋体" w:hAnsi="宋体" w:cs="宋体"/>
          <w:sz w:val="21"/>
          <w:szCs w:val="21"/>
          <w:lang w:val="en-US" w:eastAsia="zh-CN"/>
        </w:rPr>
        <w:t>了</w:t>
      </w:r>
      <w:r>
        <w:rPr>
          <w:rFonts w:hint="eastAsia" w:ascii="宋体" w:hAnsi="宋体" w:eastAsia="宋体" w:cs="宋体"/>
          <w:sz w:val="21"/>
          <w:szCs w:val="21"/>
        </w:rPr>
        <w:t>会计师事务所，聘请致同会计师事务所（特殊普通合伙）为公司2023年度财务审计机构、内部控制审计机构。公司已就本次变更会计师事务所事宜与容诚会计师事务所进行了充分沟通，容诚会计师事务所已明确知悉本事项且对本次变更无异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聘请内部控制审计会计师事务所、财务顾问或保荐人情况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公司聘请致同会计师事务所（特殊普通合伙）为公司2023年度财务审计及内部控制审计机构，聘期一年，内部控制审计费用25万元。</w:t>
      </w:r>
    </w:p>
    <w:p>
      <w:pPr>
        <w:keepNext/>
        <w:keepLines/>
        <w:spacing w:before="300" w:after="300" w:line="320" w:lineRule="exact"/>
        <w:jc w:val="left"/>
        <w:outlineLvl w:val="1"/>
        <w:rPr>
          <w:rFonts w:ascii="宋体" w:hAnsi="宋体" w:eastAsia="宋体" w:cs="宋体"/>
          <w:b/>
          <w:bCs/>
          <w:sz w:val="24"/>
          <w:szCs w:val="24"/>
        </w:rPr>
      </w:pPr>
      <w:bookmarkStart w:id="102" w:name="_Toc988991"/>
      <w:r>
        <w:rPr>
          <w:rFonts w:ascii="宋体" w:hAnsi="宋体" w:eastAsia="宋体" w:cs="宋体"/>
          <w:b/>
          <w:bCs/>
          <w:sz w:val="24"/>
          <w:szCs w:val="24"/>
        </w:rPr>
        <w:t>九、年度报告披露后面临退市情况</w:t>
      </w:r>
      <w:bookmarkEnd w:id="10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03" w:name="_Toc988992"/>
      <w:r>
        <w:rPr>
          <w:rFonts w:ascii="宋体" w:hAnsi="宋体" w:eastAsia="宋体" w:cs="宋体"/>
          <w:b/>
          <w:bCs/>
          <w:sz w:val="24"/>
          <w:szCs w:val="24"/>
        </w:rPr>
        <w:t>十、破产重整相关事项</w:t>
      </w:r>
      <w:bookmarkEnd w:id="10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公司报告期未发生破产重整相关事项。</w:t>
      </w:r>
    </w:p>
    <w:p>
      <w:pPr>
        <w:keepNext/>
        <w:keepLines/>
        <w:spacing w:before="300" w:after="300" w:line="320" w:lineRule="exact"/>
        <w:jc w:val="left"/>
        <w:outlineLvl w:val="1"/>
        <w:rPr>
          <w:rFonts w:ascii="宋体" w:hAnsi="宋体" w:eastAsia="宋体" w:cs="宋体"/>
          <w:b/>
          <w:bCs/>
          <w:sz w:val="24"/>
          <w:szCs w:val="24"/>
        </w:rPr>
      </w:pPr>
      <w:bookmarkStart w:id="104" w:name="_Toc988993"/>
      <w:r>
        <w:rPr>
          <w:rFonts w:ascii="宋体" w:hAnsi="宋体" w:eastAsia="宋体" w:cs="宋体"/>
          <w:b/>
          <w:bCs/>
          <w:sz w:val="24"/>
          <w:szCs w:val="24"/>
        </w:rPr>
        <w:t>十一、重大诉讼、仲裁事项</w:t>
      </w:r>
      <w:bookmarkEnd w:id="104"/>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91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45"/>
        <w:gridCol w:w="845"/>
        <w:gridCol w:w="791"/>
        <w:gridCol w:w="982"/>
        <w:gridCol w:w="2337"/>
        <w:gridCol w:w="1033"/>
        <w:gridCol w:w="675"/>
        <w:gridCol w:w="22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0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诉讼（仲裁）基本情况</w:t>
            </w:r>
          </w:p>
        </w:tc>
        <w:tc>
          <w:tcPr>
            <w:tcW w:w="8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涉案金额（万元）</w:t>
            </w:r>
          </w:p>
        </w:tc>
        <w:tc>
          <w:tcPr>
            <w:tcW w:w="7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是否形成预计负债</w:t>
            </w:r>
          </w:p>
        </w:tc>
        <w:tc>
          <w:tcPr>
            <w:tcW w:w="9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诉讼（仲裁）进展</w:t>
            </w:r>
          </w:p>
        </w:tc>
        <w:tc>
          <w:tcPr>
            <w:tcW w:w="23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诉讼（仲裁）审理结果及影响</w:t>
            </w:r>
          </w:p>
        </w:tc>
        <w:tc>
          <w:tcPr>
            <w:tcW w:w="10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诉讼（仲裁）判决执行情况</w:t>
            </w:r>
          </w:p>
        </w:tc>
        <w:tc>
          <w:tcPr>
            <w:tcW w:w="6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22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0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特发华日</w:t>
            </w:r>
            <w:r>
              <w:rPr>
                <w:rFonts w:ascii="宋体" w:hAnsi="宋体" w:eastAsia="宋体" w:cs="宋体"/>
                <w:sz w:val="18"/>
                <w:szCs w:val="18"/>
              </w:rPr>
              <w:t>股东资格确认纠纷</w:t>
            </w:r>
          </w:p>
        </w:tc>
        <w:tc>
          <w:tcPr>
            <w:tcW w:w="8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19.84</w:t>
            </w:r>
          </w:p>
        </w:tc>
        <w:tc>
          <w:tcPr>
            <w:tcW w:w="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9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已结案</w:t>
            </w:r>
          </w:p>
        </w:tc>
        <w:tc>
          <w:tcPr>
            <w:tcW w:w="2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eastAsia="zh-CN"/>
              </w:rPr>
            </w:pPr>
            <w:r>
              <w:rPr>
                <w:rFonts w:ascii="宋体" w:hAnsi="宋体" w:eastAsia="宋体" w:cs="宋体"/>
                <w:sz w:val="18"/>
                <w:szCs w:val="18"/>
              </w:rPr>
              <w:t>一审判决确认日方企业股东资格，二审判决驳回上诉，维持原判</w:t>
            </w:r>
            <w:r>
              <w:rPr>
                <w:rFonts w:hint="eastAsia" w:ascii="宋体" w:hAnsi="宋体" w:cs="宋体"/>
                <w:sz w:val="18"/>
                <w:szCs w:val="18"/>
                <w:lang w:eastAsia="zh-CN"/>
              </w:rPr>
              <w:t>；</w:t>
            </w:r>
            <w:r>
              <w:rPr>
                <w:rFonts w:ascii="宋体" w:hAnsi="宋体" w:eastAsia="宋体" w:cs="宋体"/>
                <w:sz w:val="18"/>
                <w:szCs w:val="18"/>
              </w:rPr>
              <w:t>对公司生产经营无重大影响</w:t>
            </w:r>
            <w:r>
              <w:rPr>
                <w:rFonts w:hint="eastAsia" w:ascii="宋体" w:hAnsi="宋体" w:cs="宋体"/>
                <w:sz w:val="18"/>
                <w:szCs w:val="18"/>
                <w:lang w:eastAsia="zh-CN"/>
              </w:rPr>
              <w:t>。</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2023年07月07日</w:t>
            </w:r>
          </w:p>
        </w:tc>
        <w:tc>
          <w:tcPr>
            <w:tcW w:w="22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《证券时报》和巨潮资讯网(www.cninfo.com.cn)《关于控股子公司诉讼事项的进展公告》（公告编号：2023-030）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0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工程款纠纷（公司为被告）</w:t>
            </w:r>
          </w:p>
        </w:tc>
        <w:tc>
          <w:tcPr>
            <w:tcW w:w="8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33.81</w:t>
            </w:r>
          </w:p>
        </w:tc>
        <w:tc>
          <w:tcPr>
            <w:tcW w:w="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9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已结案</w:t>
            </w:r>
          </w:p>
        </w:tc>
        <w:tc>
          <w:tcPr>
            <w:tcW w:w="2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于2023年7月7日收到民事调解书，公司无需承担责任；对公司生产经营无重大影响。</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2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0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土地租赁合同纠纷（公司为原告）</w:t>
            </w:r>
          </w:p>
        </w:tc>
        <w:tc>
          <w:tcPr>
            <w:tcW w:w="8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1,403.76</w:t>
            </w:r>
          </w:p>
        </w:tc>
        <w:tc>
          <w:tcPr>
            <w:tcW w:w="7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9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进行中</w:t>
            </w:r>
          </w:p>
        </w:tc>
        <w:tc>
          <w:tcPr>
            <w:tcW w:w="2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于2023年9月6日收到一审判决书，驳回公司诉讼请求，公司</w:t>
            </w:r>
            <w:r>
              <w:rPr>
                <w:rFonts w:ascii="宋体" w:hAnsi="宋体" w:eastAsia="宋体" w:cs="宋体"/>
                <w:color w:val="auto"/>
                <w:sz w:val="18"/>
                <w:szCs w:val="18"/>
              </w:rPr>
              <w:t>已在上诉期内提起上诉</w:t>
            </w:r>
            <w:r>
              <w:rPr>
                <w:rFonts w:hint="eastAsia" w:ascii="宋体" w:hAnsi="宋体" w:cs="宋体"/>
                <w:color w:val="auto"/>
                <w:sz w:val="18"/>
                <w:szCs w:val="18"/>
                <w:lang w:eastAsia="zh-CN"/>
              </w:rPr>
              <w:t>，</w:t>
            </w:r>
            <w:r>
              <w:rPr>
                <w:rFonts w:hint="eastAsia" w:ascii="宋体" w:hAnsi="宋体" w:cs="宋体"/>
                <w:color w:val="auto"/>
                <w:sz w:val="18"/>
                <w:szCs w:val="18"/>
              </w:rPr>
              <w:t>二审尚未开庭</w:t>
            </w:r>
            <w:r>
              <w:rPr>
                <w:rFonts w:ascii="宋体" w:hAnsi="宋体" w:eastAsia="宋体" w:cs="宋体"/>
                <w:color w:val="auto"/>
                <w:sz w:val="18"/>
                <w:szCs w:val="18"/>
              </w:rPr>
              <w:t>；对公司生产</w:t>
            </w:r>
            <w:r>
              <w:rPr>
                <w:rFonts w:ascii="宋体" w:hAnsi="宋体" w:eastAsia="宋体" w:cs="宋体"/>
                <w:sz w:val="18"/>
                <w:szCs w:val="18"/>
              </w:rPr>
              <w:t>经营无重大影响。</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2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320" w:lineRule="exact"/>
        <w:jc w:val="left"/>
        <w:outlineLvl w:val="1"/>
        <w:rPr>
          <w:rFonts w:ascii="宋体" w:hAnsi="宋体" w:eastAsia="宋体" w:cs="宋体"/>
          <w:b/>
          <w:bCs/>
          <w:sz w:val="24"/>
          <w:szCs w:val="24"/>
        </w:rPr>
      </w:pPr>
      <w:bookmarkStart w:id="105" w:name="_Toc988994"/>
      <w:r>
        <w:rPr>
          <w:rFonts w:ascii="宋体" w:hAnsi="宋体" w:eastAsia="宋体" w:cs="宋体"/>
          <w:b/>
          <w:bCs/>
          <w:sz w:val="24"/>
          <w:szCs w:val="24"/>
        </w:rPr>
        <w:t>十二、处罚及整改情况</w:t>
      </w:r>
      <w:bookmarkEnd w:id="10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公司报告期不存在处罚及整改情况。</w:t>
      </w:r>
    </w:p>
    <w:p>
      <w:pPr>
        <w:keepNext/>
        <w:keepLines/>
        <w:spacing w:before="300" w:after="300" w:line="320" w:lineRule="exact"/>
        <w:jc w:val="left"/>
        <w:outlineLvl w:val="1"/>
        <w:rPr>
          <w:rFonts w:ascii="宋体" w:hAnsi="宋体" w:eastAsia="宋体" w:cs="宋体"/>
          <w:b/>
          <w:bCs/>
          <w:sz w:val="24"/>
          <w:szCs w:val="24"/>
        </w:rPr>
      </w:pPr>
      <w:bookmarkStart w:id="106" w:name="_Toc988995"/>
      <w:r>
        <w:rPr>
          <w:rFonts w:ascii="宋体" w:hAnsi="宋体" w:eastAsia="宋体" w:cs="宋体"/>
          <w:b/>
          <w:bCs/>
          <w:sz w:val="24"/>
          <w:szCs w:val="24"/>
        </w:rPr>
        <w:t>十三、公司及其控股股东、实际控制人的诚信状况</w:t>
      </w:r>
      <w:bookmarkEnd w:id="10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07" w:name="_Toc988996"/>
      <w:r>
        <w:rPr>
          <w:rFonts w:ascii="宋体" w:hAnsi="宋体" w:eastAsia="宋体" w:cs="宋体"/>
          <w:b/>
          <w:bCs/>
          <w:sz w:val="24"/>
          <w:szCs w:val="24"/>
        </w:rPr>
        <w:t>十四、重大关联交易</w:t>
      </w:r>
      <w:bookmarkEnd w:id="107"/>
    </w:p>
    <w:p>
      <w:pPr>
        <w:keepNext/>
        <w:keepLines/>
        <w:spacing w:before="300" w:after="300" w:line="280" w:lineRule="exact"/>
        <w:jc w:val="left"/>
        <w:outlineLvl w:val="2"/>
        <w:rPr>
          <w:rFonts w:ascii="宋体" w:hAnsi="宋体" w:eastAsia="宋体" w:cs="宋体"/>
          <w:b/>
          <w:bCs/>
          <w:sz w:val="21"/>
          <w:szCs w:val="21"/>
        </w:rPr>
      </w:pPr>
      <w:bookmarkStart w:id="108" w:name="_Toc988997"/>
      <w:r>
        <w:rPr>
          <w:rFonts w:ascii="宋体" w:hAnsi="宋体" w:eastAsia="宋体" w:cs="宋体"/>
          <w:b/>
          <w:bCs/>
          <w:sz w:val="21"/>
          <w:szCs w:val="21"/>
        </w:rPr>
        <w:t>1、与日常经营相关的关联交易</w:t>
      </w:r>
      <w:bookmarkEnd w:id="108"/>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4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48"/>
        <w:gridCol w:w="642"/>
        <w:gridCol w:w="675"/>
        <w:gridCol w:w="667"/>
        <w:gridCol w:w="650"/>
        <w:gridCol w:w="652"/>
        <w:gridCol w:w="833"/>
        <w:gridCol w:w="686"/>
        <w:gridCol w:w="668"/>
        <w:gridCol w:w="569"/>
        <w:gridCol w:w="800"/>
        <w:gridCol w:w="708"/>
        <w:gridCol w:w="559"/>
        <w:gridCol w:w="6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关联交易方</w:t>
            </w:r>
          </w:p>
        </w:tc>
        <w:tc>
          <w:tcPr>
            <w:tcW w:w="6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关联关系</w:t>
            </w:r>
          </w:p>
        </w:tc>
        <w:tc>
          <w:tcPr>
            <w:tcW w:w="6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关联交易类型</w:t>
            </w:r>
          </w:p>
        </w:tc>
        <w:tc>
          <w:tcPr>
            <w:tcW w:w="6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6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关联交易定价原则</w:t>
            </w:r>
          </w:p>
        </w:tc>
        <w:tc>
          <w:tcPr>
            <w:tcW w:w="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关联交易价格</w:t>
            </w:r>
          </w:p>
        </w:tc>
        <w:tc>
          <w:tcPr>
            <w:tcW w:w="8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关联交易金额（万元）</w:t>
            </w:r>
          </w:p>
        </w:tc>
        <w:tc>
          <w:tcPr>
            <w:tcW w:w="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占同类交易金额的比例</w:t>
            </w:r>
          </w:p>
        </w:tc>
        <w:tc>
          <w:tcPr>
            <w:tcW w:w="6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获批的交易额度（万元）</w:t>
            </w:r>
          </w:p>
        </w:tc>
        <w:tc>
          <w:tcPr>
            <w:tcW w:w="5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是否超过获批额度</w:t>
            </w:r>
          </w:p>
        </w:tc>
        <w:tc>
          <w:tcPr>
            <w:tcW w:w="8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关联交易结算方式</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可获得的同类交易市价</w:t>
            </w:r>
          </w:p>
        </w:tc>
        <w:tc>
          <w:tcPr>
            <w:tcW w:w="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本公司董事兼任其董事</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提供物业租赁</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545.00</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545</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545</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545.00</w:t>
            </w:r>
          </w:p>
        </w:tc>
        <w:tc>
          <w:tcPr>
            <w:tcW w:w="559"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2023年4月27日</w:t>
            </w:r>
          </w:p>
        </w:tc>
        <w:tc>
          <w:tcPr>
            <w:tcW w:w="689" w:type="dxa"/>
            <w:vMerge w:val="restart"/>
            <w:tcBorders>
              <w:top w:val="single" w:color="auto" w:sz="2" w:space="0"/>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《证券时报》和巨潮咨询网《202</w:t>
            </w:r>
            <w:r>
              <w:rPr>
                <w:rFonts w:hint="eastAsia" w:ascii="宋体" w:hAnsi="宋体" w:cs="宋体"/>
                <w:sz w:val="18"/>
                <w:szCs w:val="18"/>
                <w:lang w:val="en-US" w:eastAsia="zh-CN"/>
              </w:rPr>
              <w:t>3</w:t>
            </w:r>
            <w:r>
              <w:rPr>
                <w:rFonts w:ascii="宋体" w:hAnsi="宋体" w:eastAsia="宋体" w:cs="宋体"/>
                <w:sz w:val="18"/>
                <w:szCs w:val="18"/>
              </w:rPr>
              <w:t>年度日常关联交易公告》（公告编号：202</w:t>
            </w:r>
            <w:r>
              <w:rPr>
                <w:rFonts w:hint="eastAsia" w:ascii="宋体" w:hAnsi="宋体" w:cs="宋体"/>
                <w:sz w:val="18"/>
                <w:szCs w:val="18"/>
                <w:lang w:val="en-US" w:eastAsia="zh-CN"/>
              </w:rPr>
              <w:t>3</w:t>
            </w:r>
            <w:r>
              <w:rPr>
                <w:rFonts w:ascii="宋体" w:hAnsi="宋体" w:eastAsia="宋体" w:cs="宋体"/>
                <w:sz w:val="18"/>
                <w:szCs w:val="18"/>
              </w:rPr>
              <w:t>-0</w:t>
            </w:r>
            <w:r>
              <w:rPr>
                <w:rFonts w:hint="eastAsia" w:ascii="宋体" w:hAnsi="宋体" w:cs="宋体"/>
                <w:sz w:val="18"/>
                <w:szCs w:val="18"/>
                <w:lang w:val="en-US" w:eastAsia="zh-CN"/>
              </w:rPr>
              <w:t>18</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提供物业租赁</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13.49</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13.49</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0.05%</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13.49</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提供物业租赁及管理服务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124.22</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124.22</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124.22</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深圳市特发服务股份有限公司及其分公司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提供物业租赁和停车服务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363.05</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363.05</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363.05</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提供车辆维修检测服务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0.82</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0.82</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0.82</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提供车辆维修检测服务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0.13</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0.13</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0.02%</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0.13</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接受工程监理服务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135.41</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135.41</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135.41</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深圳市特发服务股份有限公司及其分公司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接受物业管理和安保服务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1,768.37</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1,768.37</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84.21%</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1,816</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1,768.37</w:t>
            </w:r>
          </w:p>
        </w:tc>
        <w:tc>
          <w:tcPr>
            <w:tcW w:w="55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控股股东之子公司</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接受物业管理服务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261.39</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261.39</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12.45%</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261.39</w:t>
            </w:r>
          </w:p>
        </w:tc>
        <w:tc>
          <w:tcPr>
            <w:tcW w:w="559"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vMerge w:val="continue"/>
            <w:tcBorders>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国任财产保险股份有限公司</w:t>
            </w:r>
          </w:p>
        </w:tc>
        <w:tc>
          <w:tcPr>
            <w:tcW w:w="6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间接控股股东</w:t>
            </w:r>
            <w:r>
              <w:rPr>
                <w:rFonts w:ascii="宋体" w:hAnsi="宋体" w:eastAsia="宋体" w:cs="宋体"/>
                <w:sz w:val="18"/>
                <w:szCs w:val="18"/>
              </w:rPr>
              <w:t>控制的企业</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日常关联交易</w:t>
            </w:r>
          </w:p>
        </w:tc>
        <w:tc>
          <w:tcPr>
            <w:tcW w:w="6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接受保险服务</w:t>
            </w:r>
          </w:p>
        </w:tc>
        <w:tc>
          <w:tcPr>
            <w:tcW w:w="6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市场定价</w:t>
            </w:r>
          </w:p>
        </w:tc>
        <w:tc>
          <w:tcPr>
            <w:tcW w:w="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41.49</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41.49</w:t>
            </w:r>
          </w:p>
        </w:tc>
        <w:tc>
          <w:tcPr>
            <w:tcW w:w="6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61.52%</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按合同金额或协议约定</w:t>
            </w:r>
          </w:p>
        </w:tc>
        <w:tc>
          <w:tcPr>
            <w:tcW w:w="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41.49</w:t>
            </w:r>
          </w:p>
        </w:tc>
        <w:tc>
          <w:tcPr>
            <w:tcW w:w="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83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6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3,253.37</w:t>
            </w:r>
          </w:p>
        </w:tc>
        <w:tc>
          <w:tcPr>
            <w:tcW w:w="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3,587</w:t>
            </w:r>
          </w:p>
        </w:tc>
        <w:tc>
          <w:tcPr>
            <w:tcW w:w="5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83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大额销货退回的详细情况</w:t>
            </w:r>
          </w:p>
        </w:tc>
        <w:tc>
          <w:tcPr>
            <w:tcW w:w="6814" w:type="dxa"/>
            <w:gridSpan w:val="10"/>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按类别对本期将发生的日常关联交易进行总金额预计的，在报告期内的实际履行情况（如有）</w:t>
            </w:r>
          </w:p>
        </w:tc>
        <w:tc>
          <w:tcPr>
            <w:tcW w:w="6814" w:type="dxa"/>
            <w:gridSpan w:val="10"/>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正常进行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83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交易价格与市场参考价格差异较大的原因（如适用）</w:t>
            </w:r>
          </w:p>
        </w:tc>
        <w:tc>
          <w:tcPr>
            <w:tcW w:w="6814" w:type="dxa"/>
            <w:gridSpan w:val="10"/>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bl>
    <w:p>
      <w:pPr>
        <w:keepNext/>
        <w:keepLines/>
        <w:spacing w:before="300" w:after="300" w:line="280" w:lineRule="exact"/>
        <w:jc w:val="left"/>
        <w:outlineLvl w:val="2"/>
        <w:rPr>
          <w:rFonts w:ascii="宋体" w:hAnsi="宋体" w:eastAsia="宋体" w:cs="宋体"/>
          <w:b/>
          <w:bCs/>
          <w:sz w:val="21"/>
          <w:szCs w:val="21"/>
        </w:rPr>
      </w:pPr>
      <w:bookmarkStart w:id="109" w:name="_Toc988998"/>
      <w:r>
        <w:rPr>
          <w:rFonts w:ascii="宋体" w:hAnsi="宋体" w:eastAsia="宋体" w:cs="宋体"/>
          <w:b/>
          <w:bCs/>
          <w:sz w:val="21"/>
          <w:szCs w:val="21"/>
        </w:rPr>
        <w:t>2、资产或股权收购、出售发生的关联交易</w:t>
      </w:r>
      <w:bookmarkEnd w:id="10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公司报告期未发生资产或股权收购、出售的关联交易。</w:t>
      </w:r>
    </w:p>
    <w:p>
      <w:pPr>
        <w:keepNext/>
        <w:keepLines/>
        <w:spacing w:before="300" w:after="300" w:line="280" w:lineRule="exact"/>
        <w:jc w:val="left"/>
        <w:outlineLvl w:val="2"/>
        <w:rPr>
          <w:rFonts w:ascii="宋体" w:hAnsi="宋体" w:eastAsia="宋体" w:cs="宋体"/>
          <w:b/>
          <w:bCs/>
          <w:sz w:val="21"/>
          <w:szCs w:val="21"/>
        </w:rPr>
      </w:pPr>
      <w:bookmarkStart w:id="110" w:name="_Toc988999"/>
      <w:r>
        <w:rPr>
          <w:rFonts w:ascii="宋体" w:hAnsi="宋体" w:eastAsia="宋体" w:cs="宋体"/>
          <w:b/>
          <w:bCs/>
          <w:sz w:val="21"/>
          <w:szCs w:val="21"/>
        </w:rPr>
        <w:t>3、共同对外投资的关联交易</w:t>
      </w:r>
      <w:bookmarkEnd w:id="11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公司报告期未发生共同对外投资的关联交易。</w:t>
      </w:r>
    </w:p>
    <w:p>
      <w:pPr>
        <w:keepNext/>
        <w:keepLines/>
        <w:spacing w:before="300" w:after="300" w:line="280" w:lineRule="exact"/>
        <w:jc w:val="left"/>
        <w:outlineLvl w:val="2"/>
        <w:rPr>
          <w:rFonts w:ascii="宋体" w:hAnsi="宋体" w:eastAsia="宋体" w:cs="宋体"/>
          <w:b/>
          <w:bCs/>
          <w:sz w:val="21"/>
          <w:szCs w:val="21"/>
        </w:rPr>
      </w:pPr>
      <w:bookmarkStart w:id="111" w:name="_Toc989000"/>
      <w:r>
        <w:rPr>
          <w:rFonts w:ascii="宋体" w:hAnsi="宋体" w:eastAsia="宋体" w:cs="宋体"/>
          <w:b/>
          <w:bCs/>
          <w:sz w:val="21"/>
          <w:szCs w:val="21"/>
        </w:rPr>
        <w:t>4、关联债权债务往来</w:t>
      </w:r>
      <w:bookmarkEnd w:id="111"/>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是否存在非经营性关联债权债务往来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公司报告期不存在非经营性关联债权债务往来。</w:t>
      </w:r>
    </w:p>
    <w:p>
      <w:pPr>
        <w:keepNext/>
        <w:keepLines/>
        <w:spacing w:before="300" w:after="300" w:line="280" w:lineRule="exact"/>
        <w:jc w:val="left"/>
        <w:outlineLvl w:val="2"/>
        <w:rPr>
          <w:rFonts w:ascii="宋体" w:hAnsi="宋体" w:eastAsia="宋体" w:cs="宋体"/>
          <w:b/>
          <w:bCs/>
          <w:sz w:val="21"/>
          <w:szCs w:val="21"/>
        </w:rPr>
      </w:pPr>
      <w:bookmarkStart w:id="112" w:name="_Toc989001"/>
      <w:r>
        <w:rPr>
          <w:rFonts w:ascii="宋体" w:hAnsi="宋体" w:eastAsia="宋体" w:cs="宋体"/>
          <w:b/>
          <w:bCs/>
          <w:sz w:val="21"/>
          <w:szCs w:val="21"/>
        </w:rPr>
        <w:t>5、与存在关联关系的财务公司的往来情况</w:t>
      </w:r>
      <w:bookmarkEnd w:id="11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公司与存在关联关系的财务公司与关联方之间不存在存款、贷款、授信或其他金融业务。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113" w:name="_Toc989002"/>
      <w:r>
        <w:rPr>
          <w:rFonts w:ascii="宋体" w:hAnsi="宋体" w:eastAsia="宋体" w:cs="宋体"/>
          <w:b/>
          <w:bCs/>
          <w:sz w:val="21"/>
          <w:szCs w:val="21"/>
        </w:rPr>
        <w:t>6、公司控股的财务公司与关联方的往来情况</w:t>
      </w:r>
      <w:bookmarkEnd w:id="11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公司控股的财务公司与关联方之间不存在存款、贷款、授信或其他金融业务。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114" w:name="_Toc989003"/>
      <w:r>
        <w:rPr>
          <w:rFonts w:ascii="宋体" w:hAnsi="宋体" w:eastAsia="宋体" w:cs="宋体"/>
          <w:b/>
          <w:bCs/>
          <w:sz w:val="21"/>
          <w:szCs w:val="21"/>
        </w:rPr>
        <w:t>7、其他重大关联交易</w:t>
      </w:r>
      <w:bookmarkEnd w:id="11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公司报告期无其他重大关联交易。</w:t>
      </w:r>
    </w:p>
    <w:p>
      <w:pPr>
        <w:keepNext/>
        <w:keepLines/>
        <w:spacing w:before="300" w:after="300" w:line="320" w:lineRule="exact"/>
        <w:jc w:val="left"/>
        <w:outlineLvl w:val="1"/>
        <w:rPr>
          <w:rFonts w:ascii="宋体" w:hAnsi="宋体" w:eastAsia="宋体" w:cs="宋体"/>
          <w:b/>
          <w:bCs/>
          <w:sz w:val="24"/>
          <w:szCs w:val="24"/>
        </w:rPr>
      </w:pPr>
      <w:bookmarkStart w:id="115" w:name="_Toc989004"/>
      <w:r>
        <w:rPr>
          <w:rFonts w:ascii="宋体" w:hAnsi="宋体" w:eastAsia="宋体" w:cs="宋体"/>
          <w:b/>
          <w:bCs/>
          <w:sz w:val="24"/>
          <w:szCs w:val="24"/>
        </w:rPr>
        <w:t>十五、重大合同及其履行情况</w:t>
      </w:r>
      <w:bookmarkEnd w:id="115"/>
    </w:p>
    <w:p>
      <w:pPr>
        <w:keepNext/>
        <w:keepLines/>
        <w:spacing w:before="300" w:after="300" w:line="280" w:lineRule="exact"/>
        <w:jc w:val="left"/>
        <w:outlineLvl w:val="2"/>
        <w:rPr>
          <w:rFonts w:ascii="宋体" w:hAnsi="宋体" w:eastAsia="宋体" w:cs="宋体"/>
          <w:b/>
          <w:bCs/>
          <w:sz w:val="21"/>
          <w:szCs w:val="21"/>
        </w:rPr>
      </w:pPr>
      <w:bookmarkStart w:id="116" w:name="_Toc989005"/>
      <w:r>
        <w:rPr>
          <w:rFonts w:ascii="宋体" w:hAnsi="宋体" w:eastAsia="宋体" w:cs="宋体"/>
          <w:b/>
          <w:bCs/>
          <w:sz w:val="21"/>
          <w:szCs w:val="21"/>
        </w:rPr>
        <w:t>1、托管、承包、租赁事项情况</w:t>
      </w:r>
      <w:bookmarkEnd w:id="116"/>
    </w:p>
    <w:p>
      <w:pPr>
        <w:keepNext/>
        <w:keepLines/>
        <w:spacing w:before="300" w:after="300" w:line="280" w:lineRule="exact"/>
        <w:jc w:val="left"/>
        <w:outlineLvl w:val="3"/>
        <w:rPr>
          <w:rFonts w:ascii="宋体" w:hAnsi="宋体" w:eastAsia="宋体" w:cs="宋体"/>
          <w:b/>
          <w:bCs/>
          <w:sz w:val="18"/>
          <w:szCs w:val="18"/>
        </w:rPr>
      </w:pPr>
      <w:bookmarkStart w:id="117" w:name="_Toc989006"/>
      <w:r>
        <w:rPr>
          <w:rFonts w:ascii="宋体" w:hAnsi="宋体" w:eastAsia="宋体" w:cs="宋体"/>
          <w:b/>
          <w:bCs/>
          <w:sz w:val="18"/>
          <w:szCs w:val="18"/>
        </w:rPr>
        <w:t>（1） 托管情况</w:t>
      </w:r>
      <w:bookmarkEnd w:id="11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公司报告期不存在托管情况。</w:t>
      </w:r>
    </w:p>
    <w:p>
      <w:pPr>
        <w:keepNext/>
        <w:keepLines/>
        <w:spacing w:before="300" w:after="300" w:line="280" w:lineRule="exact"/>
        <w:jc w:val="left"/>
        <w:outlineLvl w:val="3"/>
        <w:rPr>
          <w:rFonts w:ascii="宋体" w:hAnsi="宋体" w:eastAsia="宋体" w:cs="宋体"/>
          <w:b/>
          <w:bCs/>
          <w:sz w:val="18"/>
          <w:szCs w:val="18"/>
        </w:rPr>
      </w:pPr>
      <w:bookmarkStart w:id="118" w:name="_Toc989007"/>
      <w:r>
        <w:rPr>
          <w:rFonts w:ascii="宋体" w:hAnsi="宋体" w:eastAsia="宋体" w:cs="宋体"/>
          <w:b/>
          <w:bCs/>
          <w:sz w:val="18"/>
          <w:szCs w:val="18"/>
        </w:rPr>
        <w:t>（2） 承包情况</w:t>
      </w:r>
      <w:bookmarkEnd w:id="11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公司报告期不存在承包情况。</w:t>
      </w:r>
    </w:p>
    <w:p>
      <w:pPr>
        <w:keepNext/>
        <w:keepLines/>
        <w:spacing w:before="300" w:after="300" w:line="280" w:lineRule="exact"/>
        <w:jc w:val="left"/>
        <w:outlineLvl w:val="3"/>
        <w:rPr>
          <w:rFonts w:ascii="宋体" w:hAnsi="宋体" w:eastAsia="宋体" w:cs="宋体"/>
          <w:b/>
          <w:bCs/>
          <w:sz w:val="18"/>
          <w:szCs w:val="18"/>
        </w:rPr>
      </w:pPr>
      <w:bookmarkStart w:id="119" w:name="_Toc989008"/>
      <w:r>
        <w:rPr>
          <w:rFonts w:ascii="宋体" w:hAnsi="宋体" w:eastAsia="宋体" w:cs="宋体"/>
          <w:b/>
          <w:bCs/>
          <w:sz w:val="18"/>
          <w:szCs w:val="18"/>
        </w:rPr>
        <w:t>（3） 租赁情况</w:t>
      </w:r>
      <w:bookmarkEnd w:id="11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w:t>
      </w:r>
      <w:r>
        <w:rPr>
          <w:rFonts w:hint="eastAsia" w:ascii="宋体" w:hAnsi="宋体" w:cs="宋体"/>
          <w:sz w:val="18"/>
          <w:szCs w:val="18"/>
          <w:lang w:val="en-US" w:eastAsia="zh-CN"/>
        </w:rPr>
        <w:t>重大</w:t>
      </w:r>
      <w:r>
        <w:rPr>
          <w:rFonts w:ascii="宋体" w:hAnsi="宋体" w:eastAsia="宋体" w:cs="宋体"/>
          <w:sz w:val="18"/>
          <w:szCs w:val="18"/>
        </w:rPr>
        <w:t>租赁情况。</w:t>
      </w:r>
    </w:p>
    <w:p>
      <w:pPr>
        <w:keepNext/>
        <w:keepLines/>
        <w:spacing w:before="300" w:after="300" w:line="280" w:lineRule="exact"/>
        <w:jc w:val="left"/>
        <w:outlineLvl w:val="2"/>
        <w:rPr>
          <w:rFonts w:ascii="宋体" w:hAnsi="宋体" w:eastAsia="宋体" w:cs="宋体"/>
          <w:b/>
          <w:bCs/>
          <w:sz w:val="21"/>
          <w:szCs w:val="21"/>
        </w:rPr>
      </w:pPr>
      <w:bookmarkStart w:id="120" w:name="_Toc989009"/>
      <w:r>
        <w:rPr>
          <w:rFonts w:ascii="宋体" w:hAnsi="宋体" w:eastAsia="宋体" w:cs="宋体"/>
          <w:b/>
          <w:bCs/>
          <w:sz w:val="21"/>
          <w:szCs w:val="21"/>
        </w:rPr>
        <w:t>2、重大担保</w:t>
      </w:r>
      <w:bookmarkEnd w:id="12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公司及其子公司对外担保情况（不包括对子公司的担保）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2014年09月30日</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2022年03月15日</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1,277.5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到合资</w:t>
            </w:r>
          </w:p>
          <w:p>
            <w:pPr>
              <w:spacing w:before="0" w:after="0" w:line="240" w:lineRule="exact"/>
              <w:jc w:val="left"/>
              <w:rPr>
                <w:rFonts w:ascii="宋体" w:hAnsi="宋体" w:eastAsia="宋体" w:cs="宋体"/>
                <w:sz w:val="18"/>
                <w:szCs w:val="18"/>
              </w:rPr>
            </w:pPr>
          </w:p>
          <w:p>
            <w:pPr>
              <w:spacing w:before="0" w:after="0" w:line="240" w:lineRule="exact"/>
              <w:jc w:val="left"/>
              <w:rPr>
                <w:rFonts w:ascii="宋体" w:hAnsi="宋体" w:eastAsia="宋体" w:cs="宋体"/>
                <w:sz w:val="18"/>
                <w:szCs w:val="18"/>
              </w:rPr>
            </w:pPr>
            <w:r>
              <w:rPr>
                <w:rFonts w:ascii="宋体" w:hAnsi="宋体" w:eastAsia="宋体" w:cs="宋体"/>
                <w:sz w:val="18"/>
                <w:szCs w:val="18"/>
              </w:rPr>
              <w:t>合同期</w:t>
            </w:r>
          </w:p>
          <w:p>
            <w:pPr>
              <w:spacing w:before="0" w:after="0" w:line="240" w:lineRule="exact"/>
              <w:jc w:val="left"/>
              <w:rPr>
                <w:rFonts w:ascii="宋体" w:hAnsi="宋体" w:eastAsia="宋体" w:cs="宋体"/>
                <w:sz w:val="18"/>
                <w:szCs w:val="18"/>
              </w:rPr>
            </w:pPr>
          </w:p>
          <w:p>
            <w:pPr>
              <w:spacing w:before="0" w:after="0" w:line="240" w:lineRule="exact"/>
              <w:jc w:val="left"/>
              <w:rPr>
                <w:rFonts w:ascii="宋体" w:hAnsi="宋体" w:eastAsia="宋体" w:cs="宋体"/>
                <w:sz w:val="18"/>
                <w:szCs w:val="18"/>
              </w:rPr>
            </w:pPr>
            <w:r>
              <w:rPr>
                <w:rFonts w:ascii="宋体" w:hAnsi="宋体" w:eastAsia="宋体" w:cs="宋体"/>
                <w:sz w:val="18"/>
                <w:szCs w:val="18"/>
              </w:rPr>
              <w:t>满日期</w:t>
            </w:r>
          </w:p>
          <w:p>
            <w:pPr>
              <w:spacing w:before="0" w:after="0" w:line="240" w:lineRule="exact"/>
              <w:jc w:val="left"/>
              <w:rPr>
                <w:rFonts w:ascii="宋体" w:hAnsi="宋体" w:eastAsia="宋体" w:cs="宋体"/>
                <w:sz w:val="18"/>
                <w:szCs w:val="18"/>
              </w:rPr>
            </w:pPr>
          </w:p>
          <w:p>
            <w:pPr>
              <w:spacing w:before="0" w:after="0" w:line="240" w:lineRule="exact"/>
              <w:jc w:val="left"/>
              <w:rPr>
                <w:rFonts w:ascii="宋体" w:hAnsi="宋体" w:eastAsia="宋体" w:cs="宋体"/>
                <w:sz w:val="18"/>
                <w:szCs w:val="18"/>
              </w:rPr>
            </w:pPr>
            <w:r>
              <w:rPr>
                <w:rFonts w:ascii="宋体" w:hAnsi="宋体" w:eastAsia="宋体" w:cs="宋体"/>
                <w:sz w:val="18"/>
                <w:szCs w:val="18"/>
              </w:rPr>
              <w:t>间</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报告期内审批的对外担保额度合计（A1）</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报告期内对外担保实际发生额合计（A2）</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报告期末已审批的对外担保额度合计（A3）</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报告期末实际对外担保余额合计（A4）</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公司对子公司的担保情况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子公司对子公司的担保情况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公司担保总额（即前三大项的合计）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报告期内审批担保额度合计（A1+B1+C1）</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报告期内担保实际发生额合计（A2+B2+C2）</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报告期末已审批的担保额度合计（A3+B3+C3）</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报告期末实际担保余额合计（A4+B4+C4）</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实际担保总额（即A4+B4+C4）占公司净资产的比例</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采用复合方式担保的具体情况说明</w:t>
      </w:r>
    </w:p>
    <w:p>
      <w:pPr>
        <w:keepNext/>
        <w:keepLines/>
        <w:spacing w:before="300" w:after="300" w:line="280" w:lineRule="exact"/>
        <w:jc w:val="left"/>
        <w:outlineLvl w:val="2"/>
        <w:rPr>
          <w:rFonts w:ascii="宋体" w:hAnsi="宋体" w:eastAsia="宋体" w:cs="宋体"/>
          <w:b/>
          <w:bCs/>
          <w:sz w:val="21"/>
          <w:szCs w:val="21"/>
        </w:rPr>
      </w:pPr>
      <w:bookmarkStart w:id="121" w:name="_Toc989010"/>
      <w:r>
        <w:rPr>
          <w:rFonts w:ascii="宋体" w:hAnsi="宋体" w:eastAsia="宋体" w:cs="宋体"/>
          <w:b/>
          <w:bCs/>
          <w:sz w:val="21"/>
          <w:szCs w:val="21"/>
        </w:rPr>
        <w:t>3、委托他人进行现金资产管理情况</w:t>
      </w:r>
      <w:bookmarkEnd w:id="121"/>
    </w:p>
    <w:p>
      <w:pPr>
        <w:keepNext/>
        <w:keepLines/>
        <w:spacing w:before="300" w:after="300" w:line="280" w:lineRule="exact"/>
        <w:jc w:val="left"/>
        <w:outlineLvl w:val="3"/>
        <w:rPr>
          <w:rFonts w:ascii="宋体" w:hAnsi="宋体" w:eastAsia="宋体" w:cs="宋体"/>
          <w:b/>
          <w:bCs/>
          <w:sz w:val="18"/>
          <w:szCs w:val="18"/>
        </w:rPr>
      </w:pPr>
      <w:bookmarkStart w:id="122" w:name="_Toc989011"/>
      <w:r>
        <w:rPr>
          <w:rFonts w:ascii="宋体" w:hAnsi="宋体" w:eastAsia="宋体" w:cs="宋体"/>
          <w:b/>
          <w:bCs/>
          <w:sz w:val="18"/>
          <w:szCs w:val="18"/>
        </w:rPr>
        <w:t>（1） 委托理财情况</w:t>
      </w:r>
      <w:bookmarkEnd w:id="12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报告期内委托理财概况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具体类型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委托理财的资金来源</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未到期余额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逾期未收回的金额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逾期未收回理财已计提减值金额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银行理财产品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单项金额重大或安全性较低、流动性较差的高风险委托理财具体情况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委托理财出现预期无法收回本金或存在其他可能导致减值的情形</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123" w:name="_Toc989012"/>
      <w:r>
        <w:rPr>
          <w:rFonts w:ascii="宋体" w:hAnsi="宋体" w:eastAsia="宋体" w:cs="宋体"/>
          <w:b/>
          <w:bCs/>
          <w:sz w:val="18"/>
          <w:szCs w:val="18"/>
        </w:rPr>
        <w:t>（2） 委托贷款情况</w:t>
      </w:r>
      <w:bookmarkEnd w:id="12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公司报告期不存在委托贷款。</w:t>
      </w:r>
    </w:p>
    <w:p>
      <w:pPr>
        <w:keepNext/>
        <w:keepLines/>
        <w:spacing w:before="300" w:after="300" w:line="280" w:lineRule="exact"/>
        <w:jc w:val="left"/>
        <w:outlineLvl w:val="2"/>
        <w:rPr>
          <w:rFonts w:ascii="宋体" w:hAnsi="宋体" w:eastAsia="宋体" w:cs="宋体"/>
          <w:b/>
          <w:bCs/>
          <w:sz w:val="21"/>
          <w:szCs w:val="21"/>
        </w:rPr>
      </w:pPr>
      <w:bookmarkStart w:id="124" w:name="_Toc989013"/>
      <w:r>
        <w:rPr>
          <w:rFonts w:ascii="宋体" w:hAnsi="宋体" w:eastAsia="宋体" w:cs="宋体"/>
          <w:b/>
          <w:bCs/>
          <w:sz w:val="21"/>
          <w:szCs w:val="21"/>
        </w:rPr>
        <w:t>4、其他重大合同</w:t>
      </w:r>
      <w:bookmarkEnd w:id="12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公司报告期不存在其他重大合同。</w:t>
      </w:r>
    </w:p>
    <w:p>
      <w:pPr>
        <w:keepNext/>
        <w:keepLines/>
        <w:spacing w:before="300" w:after="300" w:line="320" w:lineRule="exact"/>
        <w:jc w:val="left"/>
        <w:outlineLvl w:val="1"/>
        <w:rPr>
          <w:rFonts w:ascii="宋体" w:hAnsi="宋体" w:eastAsia="宋体" w:cs="宋体"/>
          <w:b/>
          <w:bCs/>
          <w:sz w:val="24"/>
          <w:szCs w:val="24"/>
        </w:rPr>
      </w:pPr>
      <w:bookmarkStart w:id="125" w:name="_Toc989014"/>
      <w:r>
        <w:rPr>
          <w:rFonts w:ascii="宋体" w:hAnsi="宋体" w:eastAsia="宋体" w:cs="宋体"/>
          <w:b/>
          <w:bCs/>
          <w:sz w:val="24"/>
          <w:szCs w:val="24"/>
        </w:rPr>
        <w:t>十六、其他重大事项的说明</w:t>
      </w:r>
      <w:bookmarkEnd w:id="12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公司报告期不存在需要说明的其他重大事项。</w:t>
      </w:r>
    </w:p>
    <w:p>
      <w:pPr>
        <w:keepNext/>
        <w:keepLines/>
        <w:spacing w:before="300" w:after="300" w:line="320" w:lineRule="exact"/>
        <w:jc w:val="left"/>
        <w:outlineLvl w:val="1"/>
        <w:rPr>
          <w:rFonts w:ascii="宋体" w:hAnsi="宋体" w:eastAsia="宋体" w:cs="宋体"/>
          <w:b/>
          <w:bCs/>
          <w:sz w:val="24"/>
          <w:szCs w:val="24"/>
        </w:rPr>
      </w:pPr>
      <w:bookmarkStart w:id="126" w:name="_Toc989015"/>
      <w:r>
        <w:rPr>
          <w:rFonts w:ascii="宋体" w:hAnsi="宋体" w:eastAsia="宋体" w:cs="宋体"/>
          <w:b/>
          <w:bCs/>
          <w:sz w:val="24"/>
          <w:szCs w:val="24"/>
        </w:rPr>
        <w:t>十七、公司子公司重大事项</w:t>
      </w:r>
      <w:bookmarkEnd w:id="126"/>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8"/>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sz w:val="21"/>
          <w:szCs w:val="21"/>
        </w:rPr>
      </w:pPr>
      <w:r>
        <w:rPr>
          <w:rFonts w:hint="eastAsia" w:ascii="宋体" w:hAnsi="宋体" w:eastAsia="宋体" w:cs="宋体"/>
          <w:sz w:val="21"/>
          <w:szCs w:val="21"/>
        </w:rPr>
        <w:t>1、公司控股子公司特发华日营业期限届满后，股东各方无法达成一致，公司向深圳前海合作区人民法院申请对特发华日进行强制清算。法院裁定受理本公司对特发华日的清算申请，并指定北京市金杜（深圳）律师事务所为特发华日清算组，目前正按法律程序推进各项工作。具体内容详见公司《关于法院受理控股子公司强制清算申请的公告》（公告编号：2023-003），《关于控股子公司强制清算的进展公告》（公告编号:2023-010）等有关内容。</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2、因华日丰田的业务经营场所为特发华日所有的物业，经过长时间的探索，华日丰田仍面临无经营场地的情况，且华日丰田的经济效益和战略意义不明显，鉴于此，公司决定解散华日丰田。具体内容详见公司《关于解散控股子公司的公告》（公告编号：2023-034）等有关内容。</w:t>
      </w:r>
    </w:p>
    <w:p>
      <w:r>
        <w:br w:type="page"/>
      </w:r>
    </w:p>
    <w:p>
      <w:pPr>
        <w:keepNext/>
        <w:keepLines/>
        <w:spacing w:before="340" w:after="330" w:line="773" w:lineRule="exact"/>
        <w:jc w:val="center"/>
        <w:outlineLvl w:val="0"/>
        <w:rPr>
          <w:rFonts w:ascii="宋体" w:hAnsi="宋体" w:eastAsia="宋体" w:cs="宋体"/>
          <w:b/>
          <w:bCs/>
          <w:sz w:val="32"/>
          <w:szCs w:val="32"/>
        </w:rPr>
      </w:pPr>
      <w:bookmarkStart w:id="127" w:name="_Toc989016"/>
      <w:r>
        <w:rPr>
          <w:rFonts w:ascii="宋体" w:hAnsi="宋体" w:eastAsia="宋体" w:cs="宋体"/>
          <w:b/>
          <w:bCs/>
          <w:sz w:val="32"/>
          <w:szCs w:val="32"/>
        </w:rPr>
        <w:t>第七节 股份变动及股东情况</w:t>
      </w:r>
      <w:bookmarkEnd w:id="127"/>
    </w:p>
    <w:p>
      <w:pPr>
        <w:keepNext/>
        <w:keepLines/>
        <w:spacing w:before="300" w:after="300" w:line="320" w:lineRule="exact"/>
        <w:jc w:val="left"/>
        <w:outlineLvl w:val="1"/>
        <w:rPr>
          <w:rFonts w:ascii="宋体" w:hAnsi="宋体" w:eastAsia="宋体" w:cs="宋体"/>
          <w:b/>
          <w:bCs/>
          <w:sz w:val="24"/>
          <w:szCs w:val="24"/>
        </w:rPr>
      </w:pPr>
      <w:bookmarkStart w:id="128" w:name="_Toc989017"/>
      <w:r>
        <w:rPr>
          <w:rFonts w:ascii="宋体" w:hAnsi="宋体" w:eastAsia="宋体" w:cs="宋体"/>
          <w:b/>
          <w:bCs/>
          <w:sz w:val="24"/>
          <w:szCs w:val="24"/>
        </w:rPr>
        <w:t>一、股份变动情况</w:t>
      </w:r>
      <w:bookmarkEnd w:id="128"/>
    </w:p>
    <w:p>
      <w:pPr>
        <w:keepNext/>
        <w:keepLines/>
        <w:spacing w:before="300" w:after="300" w:line="280" w:lineRule="exact"/>
        <w:jc w:val="left"/>
        <w:outlineLvl w:val="2"/>
        <w:rPr>
          <w:rFonts w:ascii="宋体" w:hAnsi="宋体" w:eastAsia="宋体" w:cs="宋体"/>
          <w:b/>
          <w:bCs/>
          <w:sz w:val="21"/>
          <w:szCs w:val="21"/>
        </w:rPr>
      </w:pPr>
      <w:bookmarkStart w:id="129" w:name="_Toc989018"/>
      <w:r>
        <w:rPr>
          <w:rFonts w:ascii="宋体" w:hAnsi="宋体" w:eastAsia="宋体" w:cs="宋体"/>
          <w:b/>
          <w:bCs/>
          <w:sz w:val="21"/>
          <w:szCs w:val="21"/>
        </w:rPr>
        <w:t>1、股份变动情况</w:t>
      </w:r>
      <w:bookmarkEnd w:id="12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
</w:t>
      </w:r>
    </w:p>
    <w:tbl>
      <w:tblPr>
        <w:tblStyle w:val="9"/>
        <w:tblW w:w="981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42"/>
        <w:gridCol w:w="1241"/>
        <w:gridCol w:w="925"/>
        <w:gridCol w:w="675"/>
        <w:gridCol w:w="567"/>
        <w:gridCol w:w="800"/>
        <w:gridCol w:w="592"/>
        <w:gridCol w:w="633"/>
        <w:gridCol w:w="1267"/>
        <w:gridCol w:w="8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216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本次变动前</w:t>
            </w:r>
          </w:p>
        </w:tc>
        <w:tc>
          <w:tcPr>
            <w:tcW w:w="3267"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9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6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8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5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12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8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一、有限售条件股份</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1、国家持股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2、国有法人持股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3、其他内资持股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其中：境内法人持股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境内自然人持股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4、外资持股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其中：境外法人持股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境外自然人持股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二、无限售条件股份</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1、人民币普通股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392,778,320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91.12%</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392,778,320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2、境内上市的外资股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38,280,000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8.88%</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38,280,000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3、境外上市的外资股</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4、其他</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三、股份总数</w:t>
            </w:r>
          </w:p>
        </w:tc>
        <w:tc>
          <w:tcPr>
            <w:tcW w:w="1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w:t>
            </w:r>
          </w:p>
        </w:tc>
        <w:tc>
          <w:tcPr>
            <w:tcW w:w="9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6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w:t>
            </w:r>
          </w:p>
        </w:tc>
        <w:tc>
          <w:tcPr>
            <w:tcW w:w="8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股份变动的批准情况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股份变动的过户情况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股份变动对最近一年和最近一期基本每股收益和稀释每股收益、归属于公司普通股股东的每股净资产等财务指标的影响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公司认为必要或证券监管机构要求披露的其他内容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0" w:name="_Toc989019"/>
      <w:r>
        <w:rPr>
          <w:rFonts w:ascii="宋体" w:hAnsi="宋体" w:eastAsia="宋体" w:cs="宋体"/>
          <w:b/>
          <w:bCs/>
          <w:sz w:val="21"/>
          <w:szCs w:val="21"/>
        </w:rPr>
        <w:t>2、限售股份变动情况</w:t>
      </w:r>
      <w:bookmarkEnd w:id="13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31" w:name="_Toc989020"/>
      <w:r>
        <w:rPr>
          <w:rFonts w:ascii="宋体" w:hAnsi="宋体" w:eastAsia="宋体" w:cs="宋体"/>
          <w:b/>
          <w:bCs/>
          <w:sz w:val="24"/>
          <w:szCs w:val="24"/>
        </w:rPr>
        <w:t>二、证券发行与上市情况</w:t>
      </w:r>
      <w:bookmarkEnd w:id="131"/>
    </w:p>
    <w:p>
      <w:pPr>
        <w:keepNext/>
        <w:keepLines/>
        <w:spacing w:before="300" w:after="300" w:line="280" w:lineRule="exact"/>
        <w:jc w:val="left"/>
        <w:outlineLvl w:val="2"/>
        <w:rPr>
          <w:rFonts w:ascii="宋体" w:hAnsi="宋体" w:eastAsia="宋体" w:cs="宋体"/>
          <w:b/>
          <w:bCs/>
          <w:sz w:val="21"/>
          <w:szCs w:val="21"/>
        </w:rPr>
      </w:pPr>
      <w:bookmarkStart w:id="132" w:name="_Toc989021"/>
      <w:r>
        <w:rPr>
          <w:rFonts w:ascii="宋体" w:hAnsi="宋体" w:eastAsia="宋体" w:cs="宋体"/>
          <w:b/>
          <w:bCs/>
          <w:sz w:val="21"/>
          <w:szCs w:val="21"/>
        </w:rPr>
        <w:t>1、报告期内证券发行（不含优先股）情况</w:t>
      </w:r>
      <w:bookmarkEnd w:id="13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3" w:name="_Toc989022"/>
      <w:r>
        <w:rPr>
          <w:rFonts w:ascii="宋体" w:hAnsi="宋体" w:eastAsia="宋体" w:cs="宋体"/>
          <w:b/>
          <w:bCs/>
          <w:sz w:val="21"/>
          <w:szCs w:val="21"/>
        </w:rPr>
        <w:t>2、公司股份总数及股东结构的变动、公司资产和负债结构的变动情况说明</w:t>
      </w:r>
      <w:bookmarkEnd w:id="13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4" w:name="_Toc989023"/>
      <w:r>
        <w:rPr>
          <w:rFonts w:ascii="宋体" w:hAnsi="宋体" w:eastAsia="宋体" w:cs="宋体"/>
          <w:b/>
          <w:bCs/>
          <w:sz w:val="21"/>
          <w:szCs w:val="21"/>
        </w:rPr>
        <w:t>3、现存的内部职工股情况</w:t>
      </w:r>
      <w:bookmarkEnd w:id="13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35" w:name="_Toc989024"/>
      <w:r>
        <w:rPr>
          <w:rFonts w:ascii="宋体" w:hAnsi="宋体" w:eastAsia="宋体" w:cs="宋体"/>
          <w:b/>
          <w:bCs/>
          <w:sz w:val="24"/>
          <w:szCs w:val="24"/>
        </w:rPr>
        <w:t>三、股东和实际控制人情况</w:t>
      </w:r>
      <w:bookmarkEnd w:id="135"/>
    </w:p>
    <w:p>
      <w:pPr>
        <w:keepNext/>
        <w:keepLines/>
        <w:spacing w:before="300" w:after="300" w:line="280" w:lineRule="exact"/>
        <w:jc w:val="left"/>
        <w:outlineLvl w:val="2"/>
        <w:rPr>
          <w:rFonts w:ascii="宋体" w:hAnsi="宋体" w:eastAsia="宋体" w:cs="宋体"/>
          <w:b/>
          <w:bCs/>
          <w:sz w:val="21"/>
          <w:szCs w:val="21"/>
        </w:rPr>
      </w:pPr>
      <w:bookmarkStart w:id="136" w:name="_Toc989025"/>
      <w:r>
        <w:rPr>
          <w:rFonts w:ascii="宋体" w:hAnsi="宋体" w:eastAsia="宋体" w:cs="宋体"/>
          <w:b/>
          <w:bCs/>
          <w:sz w:val="21"/>
          <w:szCs w:val="21"/>
        </w:rPr>
        <w:t>1、公司股东数量及持股情况</w:t>
      </w:r>
      <w:bookmarkEnd w:id="136"/>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4"/>
        <w:gridCol w:w="1016"/>
        <w:gridCol w:w="842"/>
        <w:gridCol w:w="1253"/>
        <w:gridCol w:w="147"/>
        <w:gridCol w:w="1091"/>
        <w:gridCol w:w="542"/>
        <w:gridCol w:w="135"/>
        <w:gridCol w:w="1240"/>
        <w:gridCol w:w="800"/>
        <w:gridCol w:w="4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57,239</w:t>
            </w:r>
          </w:p>
        </w:tc>
        <w:tc>
          <w:tcPr>
            <w:tcW w:w="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年度报告披露日前上一月末普通股股东总数</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56,200</w:t>
            </w:r>
          </w:p>
        </w:tc>
        <w:tc>
          <w:tcPr>
            <w:tcW w:w="123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报告期末表决权恢复的优先股股东总数（如有）（参见注8）</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204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年度报告披露日前上一月末表决权恢复的优先股股东总数（如有）（参见注8）</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持股5%以上的股东或前10名股东持股情况（不含通过转融通出借股份）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07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01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84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25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报告期末持股数量</w:t>
            </w:r>
          </w:p>
        </w:tc>
        <w:tc>
          <w:tcPr>
            <w:tcW w:w="1238"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报告期内增减变动情况</w:t>
            </w:r>
          </w:p>
        </w:tc>
        <w:tc>
          <w:tcPr>
            <w:tcW w:w="677"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5"/>
                <w:szCs w:val="15"/>
              </w:rPr>
              <w:t>持有有限售条件的股份数量</w:t>
            </w:r>
          </w:p>
        </w:tc>
        <w:tc>
          <w:tcPr>
            <w:tcW w:w="124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持有无限售条件的股份数量</w:t>
            </w:r>
          </w:p>
        </w:tc>
        <w:tc>
          <w:tcPr>
            <w:tcW w:w="129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1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4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5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38"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77"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4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49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210,391,621</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5,593,000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210,391,621</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深圳远致富海珠宝产业投资企业（有限合伙）</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21,919,153</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-14,693,779</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21,919,153</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李晓明</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0.71%</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3,069,500</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177,800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3,069,500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0.51%</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2,180,659</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2,180,659</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2,180,659</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GUOTAI JUNAN SECUR ITIES（HONG KONG） LIMITED</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0.40%</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1,741,491</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1,741,491</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中国工商银行股份有限公司－南方中证全指房地产交易型开放式指数证券投资基金</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0.35%</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1,518,675</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681,200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1,518,675</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申万宏源证券有限公司</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0.24%</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1,044,530</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1,044,530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1,044,530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上海一村投资管理有限公司－一村启明星33号私募证券投资基金</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0.21%</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900,000</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900,000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900,000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李道庆</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0.16%</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706,600</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706,600</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706,600</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吴秋安</w:t>
            </w:r>
          </w:p>
        </w:tc>
        <w:tc>
          <w:tcPr>
            <w:tcW w:w="10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8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0.16%</w:t>
            </w:r>
          </w:p>
        </w:tc>
        <w:tc>
          <w:tcPr>
            <w:tcW w:w="12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675,745</w:t>
            </w:r>
          </w:p>
        </w:tc>
        <w:tc>
          <w:tcPr>
            <w:tcW w:w="12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675,745</w:t>
            </w:r>
          </w:p>
        </w:tc>
        <w:tc>
          <w:tcPr>
            <w:tcW w:w="6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675,745</w:t>
            </w:r>
          </w:p>
        </w:tc>
        <w:tc>
          <w:tcPr>
            <w:tcW w:w="8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4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战略投资者或一般法人因配售新股成为前10名股东的情况（如有）（参见注3）</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前十名股东中，深圳市特发集团有限公司与其他股东不存在关联关系，也不属于《上市公司收购管理办法》中规定的一致行动人；未知其他流通股股东是否属于一致行动人。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上述股东涉及委托/受托表决权、放弃表决权情况的说明</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前10名股东中存在回购专户的特别说明（如有）（参见注10）</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2242"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报告期末持有无限售条件股份数量</w:t>
            </w:r>
          </w:p>
        </w:tc>
        <w:tc>
          <w:tcPr>
            <w:tcW w:w="4307"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242"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3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267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210,391,621</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210,391,621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深圳远致富海珠宝产业投资企业（有限合伙）</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21,919,153</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21,919,153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李晓明</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3,069,500</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2,180,659</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GUOTAI JUNAN SECUR ITIES（HONG KONG） LIMITED</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1,741,491</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境内上市外资股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1,741,491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中国工商银行股份有限公司－南方中证全指房地产交易型开放式指数证券投资基金</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1,518,675</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申万宏源证券有限公司</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1,044,530</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1,044,530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上海一村投资管理有限公司－一村启明星33号私募证券投资基金</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900,000</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李道庆</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706,600</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吴秋安</w:t>
            </w:r>
          </w:p>
        </w:tc>
        <w:tc>
          <w:tcPr>
            <w:tcW w:w="22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675,745</w:t>
            </w:r>
          </w:p>
        </w:tc>
        <w:tc>
          <w:tcPr>
            <w:tcW w:w="163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267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675,745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前10名无限售流通股股东之间，以及前10名无限售流通股股东和前10名股东之间关联关系或一致行动的说明</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前十名股东中，国有法人股东深圳市特发集团有限公司与其他股东不存在关联关系，也不属于《上市公司收购管理办法》中规定的一致行动人；未知其他流通股股东是否属于一致行动人。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前10名普通股股东参与融资融券业务情况说明（如有）（参见注4）</w:t>
            </w:r>
          </w:p>
        </w:tc>
        <w:tc>
          <w:tcPr>
            <w:tcW w:w="6549" w:type="dxa"/>
            <w:gridSpan w:val="9"/>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1.公司控股股东深圳市特发（集团）有限公司因开展转融通业务，本报告期末持股数量较2022年末增加5,593,000股，其持股数量增加系归还出借股份所致。</w:t>
            </w:r>
          </w:p>
          <w:p>
            <w:pPr>
              <w:spacing w:before="0" w:after="0" w:line="240" w:lineRule="exact"/>
              <w:jc w:val="left"/>
              <w:rPr>
                <w:rFonts w:ascii="宋体" w:hAnsi="宋体" w:eastAsia="宋体" w:cs="宋体"/>
                <w:sz w:val="18"/>
                <w:szCs w:val="18"/>
              </w:rPr>
            </w:pPr>
            <w:r>
              <w:rPr>
                <w:rFonts w:ascii="宋体" w:hAnsi="宋体" w:eastAsia="宋体" w:cs="宋体"/>
                <w:sz w:val="18"/>
                <w:szCs w:val="18"/>
              </w:rPr>
              <w:t>2.股东上海一村投资管理有限公司－一村启明星33号私募证券投资基金通过担保信用账户持有公司股票900,000股，通过普通证券账户持有公司股票0股，合计持有900,000股。</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前十名股东参与转融通业务出借股份情况</w:t>
      </w:r>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9"/>
        <w:tblW w:w="9707" w:type="dxa"/>
        <w:tblInd w:w="-6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08"/>
        <w:gridCol w:w="1242"/>
        <w:gridCol w:w="1033"/>
        <w:gridCol w:w="1075"/>
        <w:gridCol w:w="1058"/>
        <w:gridCol w:w="1259"/>
        <w:gridCol w:w="991"/>
        <w:gridCol w:w="1084"/>
        <w:gridCol w:w="9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707"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前十名股东参与转融通出借股份情况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股东名称（全称）</w:t>
            </w:r>
          </w:p>
        </w:tc>
        <w:tc>
          <w:tcPr>
            <w:tcW w:w="227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期初普通账户、信用账户持股</w:t>
            </w:r>
          </w:p>
        </w:tc>
        <w:tc>
          <w:tcPr>
            <w:tcW w:w="213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期初转融通出借股份且尚未归还</w:t>
            </w:r>
          </w:p>
        </w:tc>
        <w:tc>
          <w:tcPr>
            <w:tcW w:w="225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期末普通账户、信用账户持股</w:t>
            </w:r>
          </w:p>
        </w:tc>
        <w:tc>
          <w:tcPr>
            <w:tcW w:w="204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期末转融通出借股份且尚未归还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0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c>
          <w:tcPr>
            <w:tcW w:w="10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0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c>
          <w:tcPr>
            <w:tcW w:w="12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9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c>
          <w:tcPr>
            <w:tcW w:w="10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95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2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204,798,621</w:t>
            </w:r>
          </w:p>
        </w:tc>
        <w:tc>
          <w:tcPr>
            <w:tcW w:w="10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47.51%</w:t>
            </w:r>
          </w:p>
        </w:tc>
        <w:tc>
          <w:tcPr>
            <w:tcW w:w="10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6,793,000</w:t>
            </w:r>
          </w:p>
        </w:tc>
        <w:tc>
          <w:tcPr>
            <w:tcW w:w="10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w:t>
            </w:r>
          </w:p>
        </w:tc>
        <w:tc>
          <w:tcPr>
            <w:tcW w:w="12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210,391,621</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w:t>
            </w:r>
          </w:p>
        </w:tc>
        <w:tc>
          <w:tcPr>
            <w:tcW w:w="10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1,200,000</w:t>
            </w:r>
          </w:p>
        </w:tc>
        <w:tc>
          <w:tcPr>
            <w:tcW w:w="9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前十名股东较上期发生变化</w:t>
      </w:r>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848"/>
        <w:gridCol w:w="759"/>
        <w:gridCol w:w="991"/>
        <w:gridCol w:w="1559"/>
        <w:gridCol w:w="941"/>
        <w:gridCol w:w="15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前十名股东较上期末发生变化情况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股东名称（全称）</w:t>
            </w:r>
          </w:p>
        </w:tc>
        <w:tc>
          <w:tcPr>
            <w:tcW w:w="7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本报告期新增/退出</w:t>
            </w:r>
          </w:p>
        </w:tc>
        <w:tc>
          <w:tcPr>
            <w:tcW w:w="255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期末转融通出借股份且尚未归还数量</w:t>
            </w:r>
          </w:p>
        </w:tc>
        <w:tc>
          <w:tcPr>
            <w:tcW w:w="247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期末股东普通账户、信用账户持股及转融通出借股份且尚未归还的股份数量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c>
          <w:tcPr>
            <w:tcW w:w="9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数量合计</w:t>
            </w:r>
          </w:p>
        </w:tc>
        <w:tc>
          <w:tcPr>
            <w:tcW w:w="15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占总股本的比例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新增</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申万宏源证券有限公司</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新增</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上海一村投资管理有限公司－一村启明星33号私募证券投资基金</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新增</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李道庆</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新增</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吴秋安</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新增</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李博之</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退出</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宁波梅山保税港区凌顶投资管理有限公司－凌顶出奇二号私募证券投资基金</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退出</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南京盛泉恒元投资有限公司－盛泉恒元灵活配置8号私募证券投资基金</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退出</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南京盛泉恒元投资有限公司－盛泉恒元量化套利17号私募证券投资基金</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退出</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4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招商证券股份有限公司</w:t>
            </w:r>
          </w:p>
        </w:tc>
        <w:tc>
          <w:tcPr>
            <w:tcW w:w="7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退出</w:t>
            </w:r>
          </w:p>
        </w:tc>
        <w:tc>
          <w:tcPr>
            <w:tcW w:w="9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5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5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公司前10名普通股股东、前10名无限售条件普通股股东在报告期内是否进行约定购回交易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公司前10名普通股股东、前10名无限售条件普通股股东在报告期内未进行约定购回交易。</w:t>
      </w:r>
    </w:p>
    <w:p>
      <w:pPr>
        <w:keepNext/>
        <w:keepLines/>
        <w:spacing w:before="300" w:after="300" w:line="280" w:lineRule="exact"/>
        <w:jc w:val="left"/>
        <w:outlineLvl w:val="2"/>
        <w:rPr>
          <w:rFonts w:ascii="宋体" w:hAnsi="宋体" w:eastAsia="宋体" w:cs="宋体"/>
          <w:b/>
          <w:bCs/>
          <w:sz w:val="21"/>
          <w:szCs w:val="21"/>
        </w:rPr>
      </w:pPr>
      <w:bookmarkStart w:id="137" w:name="_Toc989026"/>
      <w:r>
        <w:rPr>
          <w:rFonts w:ascii="宋体" w:hAnsi="宋体" w:eastAsia="宋体" w:cs="宋体"/>
          <w:b/>
          <w:bCs/>
          <w:sz w:val="21"/>
          <w:szCs w:val="21"/>
        </w:rPr>
        <w:t>2、公司控股股东情况</w:t>
      </w:r>
      <w:bookmarkEnd w:id="137"/>
    </w:p>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控股股东性质：地方国有控股</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控股股东类型：法人</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82"/>
        <w:gridCol w:w="1291"/>
        <w:gridCol w:w="1200"/>
        <w:gridCol w:w="1850"/>
        <w:gridCol w:w="37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控股股东名称</w:t>
            </w:r>
          </w:p>
        </w:tc>
        <w:tc>
          <w:tcPr>
            <w:tcW w:w="129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法定代表人/单位负责人</w:t>
            </w: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成立日期</w:t>
            </w:r>
          </w:p>
        </w:tc>
        <w:tc>
          <w:tcPr>
            <w:tcW w:w="1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组织机构代码</w:t>
            </w:r>
          </w:p>
        </w:tc>
        <w:tc>
          <w:tcPr>
            <w:tcW w:w="37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2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张俊林</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1982年06月20日</w:t>
            </w:r>
          </w:p>
        </w:tc>
        <w:tc>
          <w:tcPr>
            <w:tcW w:w="18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91440300192194195C</w:t>
            </w:r>
          </w:p>
        </w:tc>
        <w:tc>
          <w:tcPr>
            <w:tcW w:w="37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投资兴办实业（具体项目另行申报）；投资兴办旅游产业；房地产开发经营；国内商业、物资供销业（不含专营、专控、专卖商品）；经济信息咨询（不含限制项目）；经营进出口业务。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控股股东报告期内控股和参股的其他境内外上市公司的股权情况</w:t>
            </w:r>
          </w:p>
        </w:tc>
        <w:tc>
          <w:tcPr>
            <w:tcW w:w="805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报告期末，特发集团除持有本公司股权外，持有其他上市公司股权情况如下：</w:t>
            </w:r>
          </w:p>
          <w:p>
            <w:pPr>
              <w:spacing w:before="0" w:after="0" w:line="240" w:lineRule="exact"/>
              <w:jc w:val="left"/>
              <w:rPr>
                <w:rFonts w:ascii="宋体" w:hAnsi="宋体" w:eastAsia="宋体" w:cs="宋体"/>
                <w:sz w:val="18"/>
                <w:szCs w:val="18"/>
              </w:rPr>
            </w:pPr>
            <w:r>
              <w:rPr>
                <w:rFonts w:ascii="宋体" w:hAnsi="宋体" w:eastAsia="宋体" w:cs="宋体"/>
                <w:sz w:val="18"/>
                <w:szCs w:val="18"/>
              </w:rPr>
              <w:t>1、持有深圳市特发服务股份有限公司（证券简称：特发服务，证券代码：300917）47.78%股权，通过深圳市特发投资有限公司持有深圳市特发服务股份有限公司0.98%股权；</w:t>
            </w:r>
          </w:p>
          <w:p>
            <w:pPr>
              <w:spacing w:before="0" w:after="0" w:line="240" w:lineRule="exact"/>
              <w:jc w:val="left"/>
              <w:rPr>
                <w:rFonts w:ascii="宋体" w:hAnsi="宋体" w:eastAsia="宋体" w:cs="宋体"/>
                <w:sz w:val="18"/>
                <w:szCs w:val="18"/>
              </w:rPr>
            </w:pPr>
            <w:r>
              <w:rPr>
                <w:rFonts w:ascii="宋体" w:hAnsi="宋体" w:eastAsia="宋体" w:cs="宋体"/>
                <w:sz w:val="18"/>
                <w:szCs w:val="18"/>
              </w:rPr>
              <w:t>2、持有深圳市特发信息股份有限公司（证券简称：特发信息，证券代码：000070）36.18%股权，通过汉国三和有限公司控制深圳市特发信息股份有限公司1.1%股权；</w:t>
            </w:r>
          </w:p>
          <w:p>
            <w:pPr>
              <w:spacing w:before="0" w:after="0" w:line="240" w:lineRule="exact"/>
              <w:jc w:val="left"/>
              <w:rPr>
                <w:rFonts w:ascii="宋体" w:hAnsi="宋体" w:eastAsia="宋体" w:cs="宋体"/>
                <w:sz w:val="18"/>
                <w:szCs w:val="18"/>
              </w:rPr>
            </w:pPr>
            <w:r>
              <w:rPr>
                <w:rFonts w:ascii="宋体" w:hAnsi="宋体" w:eastAsia="宋体" w:cs="宋体"/>
                <w:sz w:val="18"/>
                <w:szCs w:val="18"/>
              </w:rPr>
              <w:t>3、持有深圳市麦捷微电子科技股份有限公司（证券简称：麦捷科技，证券代码：300319）8.31%股权，通过控股子公司深圳远致富海电子信息投资企业（有限合伙）控制深圳市麦捷微电子科技股份有限公司14.5%股权。</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控股股东报告期内变更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公司报告期控股股东未发生变更。</w:t>
      </w:r>
    </w:p>
    <w:p>
      <w:pPr>
        <w:keepNext w:val="0"/>
        <w:keepLines w:val="0"/>
        <w:pageBreakBefore w:val="0"/>
        <w:widowControl w:val="0"/>
        <w:kinsoku/>
        <w:wordWrap/>
        <w:overflowPunct/>
        <w:topLinePunct w:val="0"/>
        <w:autoSpaceDE/>
        <w:autoSpaceDN/>
        <w:bidi w:val="0"/>
        <w:adjustRightInd/>
        <w:snapToGrid/>
        <w:spacing w:before="300" w:after="300" w:line="280" w:lineRule="exact"/>
        <w:jc w:val="left"/>
        <w:textAlignment w:val="auto"/>
        <w:outlineLvl w:val="2"/>
        <w:rPr>
          <w:rFonts w:ascii="宋体" w:hAnsi="宋体" w:eastAsia="宋体" w:cs="宋体"/>
          <w:b/>
          <w:bCs/>
          <w:sz w:val="21"/>
          <w:szCs w:val="21"/>
        </w:rPr>
      </w:pPr>
      <w:bookmarkStart w:id="138" w:name="_Toc989027"/>
      <w:r>
        <w:rPr>
          <w:rFonts w:ascii="宋体" w:hAnsi="宋体" w:eastAsia="宋体" w:cs="宋体"/>
          <w:b/>
          <w:bCs/>
          <w:sz w:val="21"/>
          <w:szCs w:val="21"/>
        </w:rPr>
        <w:t>3、公司实际控制人及其一致行动人</w:t>
      </w:r>
      <w:bookmarkEnd w:id="138"/>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实际控制人性质：地方国资管理机构</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实际控制人类型：法人</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246"/>
        <w:gridCol w:w="1336"/>
        <w:gridCol w:w="1914"/>
        <w:gridCol w:w="3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实际控制人名称</w:t>
            </w:r>
          </w:p>
        </w:tc>
        <w:tc>
          <w:tcPr>
            <w:tcW w:w="124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法定代表人/单位负责人</w:t>
            </w:r>
          </w:p>
        </w:tc>
        <w:tc>
          <w:tcPr>
            <w:tcW w:w="13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成立日期</w:t>
            </w:r>
          </w:p>
        </w:tc>
        <w:tc>
          <w:tcPr>
            <w:tcW w:w="191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组织机构代码</w:t>
            </w:r>
          </w:p>
        </w:tc>
        <w:tc>
          <w:tcPr>
            <w:tcW w:w="32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深圳市人民政府国有资产监督管理委员会</w:t>
            </w:r>
          </w:p>
        </w:tc>
        <w:tc>
          <w:tcPr>
            <w:tcW w:w="12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王勇健</w:t>
            </w:r>
          </w:p>
        </w:tc>
        <w:tc>
          <w:tcPr>
            <w:tcW w:w="13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2004年04月02日</w:t>
            </w:r>
          </w:p>
        </w:tc>
        <w:tc>
          <w:tcPr>
            <w:tcW w:w="1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11440300K317280672</w:t>
            </w:r>
          </w:p>
        </w:tc>
        <w:tc>
          <w:tcPr>
            <w:tcW w:w="32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代表国家履行出资人职责，对授权监管的国有资产依法进行监督和管理。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实际控制人报告期内控制的其他境内外上市公司的股权情况</w:t>
            </w:r>
          </w:p>
        </w:tc>
        <w:tc>
          <w:tcPr>
            <w:tcW w:w="7712"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实际控制人报告期内变更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公司报告期实际控制人未发生变更。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公司与实际控制人之间的产权及控制关系的方框图</w:t>
      </w:r>
    </w:p>
    <w:p>
      <w:pPr>
        <w:spacing w:before="40" w:after="40" w:line="0" w:lineRule="exact"/>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303905" cy="2255520"/>
            <wp:effectExtent l="0" t="0" r="1079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303905" cy="2255520"/>
                    </a:xfrm>
                    <a:prstGeom prst="rect">
                      <a:avLst/>
                    </a:prstGeom>
                    <a:noFill/>
                    <a:ln w="9525">
                      <a:noFill/>
                    </a:ln>
                  </pic:spPr>
                </pic:pic>
              </a:graphicData>
            </a:graphic>
          </wp:inline>
        </w:drawing>
      </w:r>
    </w:p>
    <w:p>
      <w:pPr>
        <w:spacing w:before="40" w:after="40" w:line="0" w:lineRule="exact"/>
        <w:jc w:val="both"/>
        <w:rPr>
          <w:rFonts w:ascii="宋体" w:hAnsi="宋体" w:eastAsia="宋体" w:cs="宋体"/>
          <w:sz w:val="24"/>
          <w:szCs w:val="24"/>
        </w:rPr>
      </w:pPr>
      <w:r>
        <w:rPr>
          <w:rFonts w:hint="eastAsia" w:ascii="宋体" w:hAnsi="宋体" w:eastAsia="宋体" w:cs="宋体"/>
          <w:sz w:val="18"/>
          <w:szCs w:val="18"/>
          <w:lang w:val="en-US" w:eastAsia="zh-CN"/>
        </w:rPr>
        <w:t>注：</w:t>
      </w:r>
      <w:r>
        <w:rPr>
          <w:rFonts w:ascii="宋体" w:hAnsi="宋体" w:eastAsia="宋体" w:cs="宋体"/>
          <w:sz w:val="18"/>
          <w:szCs w:val="18"/>
        </w:rPr>
        <w:t>2022年12月28日，深圳市国资委与其全资子公司深投控签署了《表决权委托协议》，深圳市国资委将所持有的特发集团38.97%股东会表决权通过协议方式委托给其全资子公司深投控行使，进而使深投控通过特发集团间接拥有本公司权益。</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实际控制人通过信托或其他资产管理方式控制公司</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9" w:name="_Toc989028"/>
      <w:r>
        <w:rPr>
          <w:rFonts w:ascii="宋体" w:hAnsi="宋体" w:eastAsia="宋体" w:cs="宋体"/>
          <w:b/>
          <w:bCs/>
          <w:sz w:val="21"/>
          <w:szCs w:val="21"/>
        </w:rPr>
        <w:t>4、公司控股股东或第一大股东及其一致行动人累计质押股份数量占其所持公司股份数量比例达到80%</w:t>
      </w:r>
      <w:bookmarkEnd w:id="13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40" w:name="_Toc989029"/>
      <w:r>
        <w:rPr>
          <w:rFonts w:ascii="宋体" w:hAnsi="宋体" w:eastAsia="宋体" w:cs="宋体"/>
          <w:b/>
          <w:bCs/>
          <w:sz w:val="21"/>
          <w:szCs w:val="21"/>
        </w:rPr>
        <w:t>5、其他持股在10%以上的法人股东</w:t>
      </w:r>
      <w:bookmarkEnd w:id="14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41" w:name="_Toc989030"/>
      <w:r>
        <w:rPr>
          <w:rFonts w:ascii="宋体" w:hAnsi="宋体" w:eastAsia="宋体" w:cs="宋体"/>
          <w:b/>
          <w:bCs/>
          <w:sz w:val="21"/>
          <w:szCs w:val="21"/>
        </w:rPr>
        <w:t>6、控股股东、实际控制人、重组方及其他承诺主体股份限制减持情况</w:t>
      </w:r>
      <w:bookmarkEnd w:id="14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42" w:name="_Toc989031"/>
      <w:r>
        <w:rPr>
          <w:rFonts w:ascii="宋体" w:hAnsi="宋体" w:eastAsia="宋体" w:cs="宋体"/>
          <w:b/>
          <w:bCs/>
          <w:sz w:val="24"/>
          <w:szCs w:val="24"/>
        </w:rPr>
        <w:t>四、股份回购在报告期的具体实施情况</w:t>
      </w:r>
      <w:bookmarkEnd w:id="142"/>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股份回购的实施进展情况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采用集中竞价交易方式减持回购股份的实施进展情况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143" w:name="_Toc989032"/>
      <w:r>
        <w:rPr>
          <w:rFonts w:ascii="宋体" w:hAnsi="宋体" w:eastAsia="宋体" w:cs="宋体"/>
          <w:b/>
          <w:bCs/>
          <w:sz w:val="32"/>
          <w:szCs w:val="32"/>
        </w:rPr>
        <w:t>第八节 优先股相关情况</w:t>
      </w:r>
      <w:bookmarkEnd w:id="14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报告期公司不存在优先股。</w:t>
      </w:r>
    </w:p>
    <w:p>
      <w:r>
        <w:br w:type="page"/>
      </w:r>
    </w:p>
    <w:p>
      <w:pPr>
        <w:keepNext/>
        <w:keepLines/>
        <w:spacing w:before="340" w:after="330" w:line="773" w:lineRule="exact"/>
        <w:jc w:val="center"/>
        <w:outlineLvl w:val="0"/>
        <w:rPr>
          <w:rFonts w:ascii="宋体" w:hAnsi="宋体" w:eastAsia="宋体" w:cs="宋体"/>
          <w:b/>
          <w:bCs/>
          <w:sz w:val="32"/>
          <w:szCs w:val="32"/>
        </w:rPr>
      </w:pPr>
      <w:bookmarkStart w:id="144" w:name="_Toc989033"/>
      <w:r>
        <w:rPr>
          <w:rFonts w:ascii="宋体" w:hAnsi="宋体" w:eastAsia="宋体" w:cs="宋体"/>
          <w:b/>
          <w:bCs/>
          <w:sz w:val="32"/>
          <w:szCs w:val="32"/>
        </w:rPr>
        <w:t>第九节 债券相关情况</w:t>
      </w:r>
      <w:bookmarkEnd w:id="14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145" w:name="_Toc989034"/>
      <w:r>
        <w:rPr>
          <w:rFonts w:ascii="宋体" w:hAnsi="宋体" w:eastAsia="宋体" w:cs="宋体"/>
          <w:b/>
          <w:bCs/>
          <w:sz w:val="32"/>
          <w:szCs w:val="32"/>
        </w:rPr>
        <w:t>第十节 财务报告</w:t>
      </w:r>
      <w:bookmarkEnd w:id="145"/>
    </w:p>
    <w:p>
      <w:pPr>
        <w:keepNext/>
        <w:keepLines/>
        <w:spacing w:before="300" w:after="300" w:line="320" w:lineRule="exact"/>
        <w:jc w:val="left"/>
        <w:outlineLvl w:val="1"/>
        <w:rPr>
          <w:rFonts w:ascii="宋体" w:hAnsi="宋体" w:eastAsia="宋体" w:cs="宋体"/>
          <w:b/>
          <w:bCs/>
          <w:sz w:val="24"/>
          <w:szCs w:val="24"/>
        </w:rPr>
      </w:pPr>
      <w:bookmarkStart w:id="146" w:name="_Toc989035"/>
      <w:r>
        <w:rPr>
          <w:rFonts w:ascii="宋体" w:hAnsi="宋体" w:eastAsia="宋体" w:cs="宋体"/>
          <w:b/>
          <w:bCs/>
          <w:sz w:val="24"/>
          <w:szCs w:val="24"/>
        </w:rPr>
        <w:t>一、审计报告</w:t>
      </w:r>
      <w:bookmarkEnd w:id="146"/>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审计意见类型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标准的无保留意见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审计报告签署日期</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2024年03月26日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审计机构名称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致同会计师事务所（特殊普通合伙）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审计报告文号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致同审字(2024)第441A005085号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吴亮、谢明明</w:t>
            </w:r>
          </w:p>
        </w:tc>
      </w:tr>
    </w:tbl>
    <w:p>
      <w:pPr>
        <w:spacing w:before="100" w:after="100" w:line="240" w:lineRule="exact"/>
        <w:jc w:val="center"/>
        <w:rPr>
          <w:rFonts w:ascii="宋体" w:hAnsi="宋体" w:eastAsia="宋体" w:cs="宋体"/>
          <w:sz w:val="18"/>
          <w:szCs w:val="18"/>
        </w:rPr>
      </w:pPr>
      <w:r>
        <w:rPr>
          <w:rFonts w:ascii="宋体" w:hAnsi="宋体" w:eastAsia="宋体" w:cs="宋体"/>
          <w:sz w:val="18"/>
          <w:szCs w:val="18"/>
        </w:rPr>
        <w:t>审计报告正文</w:t>
      </w:r>
    </w:p>
    <w:p>
      <w:pPr>
        <w:spacing w:before="120" w:beforeLines="50" w:line="300" w:lineRule="auto"/>
        <w:outlineLvl w:val="0"/>
        <w:rPr>
          <w:rFonts w:hint="eastAsia" w:ascii="宋体" w:hAnsi="宋体" w:eastAsia="宋体" w:cs="宋体"/>
          <w:b/>
          <w:snapToGrid w:val="0"/>
          <w:color w:val="FF0000"/>
          <w:sz w:val="21"/>
          <w:szCs w:val="21"/>
          <w:lang w:eastAsia="zh-CN"/>
        </w:rPr>
      </w:pPr>
      <w:bookmarkStart w:id="147" w:name="_Toc989036"/>
      <w:r>
        <w:rPr>
          <w:rFonts w:hint="eastAsia" w:ascii="宋体" w:hAnsi="宋体" w:eastAsia="宋体" w:cs="宋体"/>
          <w:b/>
          <w:spacing w:val="4"/>
          <w:sz w:val="21"/>
          <w:szCs w:val="21"/>
          <w:lang w:eastAsia="zh-CN"/>
        </w:rPr>
        <w:t>深圳市特力（集团）股份有限公司全体股东：</w:t>
      </w:r>
    </w:p>
    <w:p>
      <w:pPr>
        <w:spacing w:before="120" w:beforeLines="50" w:after="120" w:afterLines="50" w:line="300" w:lineRule="auto"/>
        <w:ind w:firstLine="420" w:firstLineChars="200"/>
        <w:jc w:val="both"/>
        <w:outlineLvl w:val="0"/>
        <w:rPr>
          <w:rFonts w:hint="eastAsia" w:ascii="宋体" w:hAnsi="宋体" w:eastAsia="宋体" w:cs="宋体"/>
          <w:b/>
          <w:spacing w:val="4"/>
          <w:sz w:val="21"/>
          <w:szCs w:val="21"/>
          <w:lang w:eastAsia="zh-CN"/>
        </w:rPr>
      </w:pPr>
      <w:r>
        <w:rPr>
          <w:rFonts w:hint="eastAsia" w:ascii="宋体" w:hAnsi="宋体" w:eastAsia="宋体" w:cs="宋体"/>
          <w:b/>
          <w:bCs/>
          <w:sz w:val="21"/>
          <w:szCs w:val="21"/>
        </w:rPr>
        <w:t>一、审计意见</w:t>
      </w:r>
    </w:p>
    <w:p>
      <w:pPr>
        <w:spacing w:before="120" w:beforeLines="50" w:line="300" w:lineRule="auto"/>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我们审计了</w:t>
      </w:r>
      <w:r>
        <w:rPr>
          <w:rFonts w:hint="eastAsia" w:ascii="宋体" w:hAnsi="宋体" w:eastAsia="宋体" w:cs="宋体"/>
          <w:spacing w:val="4"/>
          <w:sz w:val="21"/>
          <w:szCs w:val="21"/>
        </w:rPr>
        <w:t>深圳市特力（集团）</w:t>
      </w:r>
      <w:r>
        <w:rPr>
          <w:rFonts w:hint="eastAsia" w:ascii="宋体" w:hAnsi="宋体" w:eastAsia="宋体" w:cs="宋体"/>
          <w:sz w:val="21"/>
          <w:szCs w:val="21"/>
          <w:lang w:eastAsia="zh-CN"/>
        </w:rPr>
        <w:t>股份有限公司（以下简称特力公司）财务报表，包括2023年12月31日的合并及公司资产负债表，2023年度的合并及公司利润表、合并及公司现金流量表、合并及公司股东权益变动表以及相关财务报表附注。</w:t>
      </w:r>
    </w:p>
    <w:p>
      <w:pPr>
        <w:spacing w:before="120" w:beforeLines="50" w:line="300" w:lineRule="auto"/>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我们认为，后附的财务报表在所有重大方面按照企业会计准则的规定编制，公允反映了特力公司2023年12月31日的合并及公司财务状况以及2023年度的合并及公司经营成果和现金流量。</w:t>
      </w:r>
    </w:p>
    <w:p>
      <w:pPr>
        <w:spacing w:before="120" w:beforeLines="50" w:after="120" w:afterLines="50" w:line="300" w:lineRule="auto"/>
        <w:ind w:firstLine="420" w:firstLineChars="200"/>
        <w:jc w:val="both"/>
        <w:outlineLvl w:val="0"/>
        <w:rPr>
          <w:rFonts w:hint="eastAsia" w:ascii="宋体" w:hAnsi="宋体" w:eastAsia="宋体" w:cs="宋体"/>
          <w:b/>
          <w:bCs/>
          <w:sz w:val="21"/>
          <w:szCs w:val="21"/>
        </w:rPr>
      </w:pPr>
      <w:r>
        <w:rPr>
          <w:rFonts w:hint="eastAsia" w:ascii="宋体" w:hAnsi="宋体" w:eastAsia="宋体" w:cs="宋体"/>
          <w:b/>
          <w:bCs/>
          <w:sz w:val="21"/>
          <w:szCs w:val="21"/>
        </w:rPr>
        <w:t>二、形成审计意见的基础</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按照中国注册会计师审计准则的规定执行了审计工作。审计报告的“注册会计师对财务报表审计的责任”部分进一步阐述了我们在这些准则下的责任。按照中国注册会计师职业道德守则，我们独立于特力公司，并履行了职业道德方面的其他责任。我们相信，我们获取的审计证据是充分、适当的，为发表审计意见提供了基础。</w:t>
      </w:r>
    </w:p>
    <w:p>
      <w:pPr>
        <w:spacing w:before="120" w:beforeLines="50" w:after="120" w:afterLines="50" w:line="300" w:lineRule="auto"/>
        <w:ind w:firstLine="420" w:firstLineChars="200"/>
        <w:jc w:val="both"/>
        <w:outlineLvl w:val="0"/>
        <w:rPr>
          <w:rFonts w:hint="eastAsia" w:ascii="宋体" w:hAnsi="宋体" w:eastAsia="宋体" w:cs="宋体"/>
          <w:b/>
          <w:bCs/>
          <w:sz w:val="21"/>
          <w:szCs w:val="21"/>
        </w:rPr>
      </w:pPr>
      <w:r>
        <w:rPr>
          <w:rFonts w:hint="eastAsia" w:ascii="宋体" w:hAnsi="宋体" w:eastAsia="宋体" w:cs="宋体"/>
          <w:b/>
          <w:bCs/>
          <w:sz w:val="21"/>
          <w:szCs w:val="21"/>
        </w:rPr>
        <w:t>三、关键审计事项</w:t>
      </w:r>
    </w:p>
    <w:p>
      <w:pPr>
        <w:spacing w:before="120" w:beforeLines="50" w:line="300" w:lineRule="auto"/>
        <w:ind w:firstLine="436" w:firstLineChars="200"/>
        <w:jc w:val="both"/>
        <w:rPr>
          <w:rFonts w:hint="eastAsia" w:ascii="宋体" w:hAnsi="宋体" w:eastAsia="宋体" w:cs="宋体"/>
          <w:color w:val="0000FF"/>
          <w:spacing w:val="4"/>
          <w:sz w:val="21"/>
          <w:szCs w:val="21"/>
          <w:lang w:eastAsia="zh-CN"/>
        </w:rPr>
      </w:pPr>
      <w:r>
        <w:rPr>
          <w:rFonts w:hint="eastAsia" w:ascii="宋体" w:hAnsi="宋体" w:eastAsia="宋体" w:cs="宋体"/>
          <w:spacing w:val="4"/>
          <w:sz w:val="21"/>
          <w:szCs w:val="21"/>
          <w:lang w:eastAsia="zh-CN"/>
        </w:rPr>
        <w:t>关键审计事项是我们根据职业判断，认为对本期财务报表审计最为重要的事项。这些事项的应对以对财务报表整体进行审计并形成审计意见为背景，我们不对这些事项单独发表意见。</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（一）收入确认</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相关信息披露详见财务报表附注三、26及五、45。</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1、事项描述</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特力公司营业收入主要来自于物业租赁及服务、黄金珠宝销售及服务、汽车销售、汽车维修及检测。于2023年度，特力公司实现营业收入18.47亿元，较上年同期增加120.46%。由于营业收入为关键业绩指标之一，可能存在特力公司管理层（以下简称管理层）通过不恰当的收入确认以达到特定目标或预期的风险，因此我们将收入确认确定为关键审计事项。</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2、审计应对</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我们对收入确认实施的审计程序主要包括：</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（1）了解与收入确认相关的内部控制设计，并测试了关键控制流程运行的有效性；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（2）通过询问管理层，检查销售合同，分析与营业收入确认有关的控制权转移时点，进而评估特力公司营业收入确认具体方法的恰当性。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（3）对营业收入实施分析程序，包括2023年各月的收入、毛利率波动分析，主要产品及服务的收入、价格、毛利率本期与上年对比分析，以及与同行业上市公司比较分析。</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（4）选取主要客户函证本期销售额；对未回函的样本，通过检查期后回款，检查销售合同、发票及签收单等支持性文件核实交易真实性。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（5）选取测试样本，检查本年收入确认相关的支持性文件，包括房地产租赁合同、商品销售合同、发票、销售订单、出库单、结算单及客户签收记录等，检查收入确认是否准确。</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（6）执行截止性测试，对资产负债表日前后确认的营业收入核对至发票、商品销售订单、出库单及客户签收单等支持性文件，评价营业收入是否在恰当期间确认。</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（7）检查2023年新增客户、销售变动较大的客户及其关联方的工商信息，核查是否存在未识别的潜在关联方关系和交易，并走访了重要客户。</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（二）子公司强制清算</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相关信息披露详见财务报表附注三、11、15，附注五、2、52以及附注六、2。</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1、事项描述</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特力公司的子公司深圳特发华日汽车企业有限公司（以下简称特发华日）于2022年3月14日营期限到期，特力公司与另一股东多次沟通关于特发华日营业期限延长或清算等事宜，最终未达成一致，因此特力公司向法院申请强制清算。特力公司于2023年3月21日收到深圳前海合作区人民法院送达的《指定清算组决定书》（[2023]粤0391强清4号），法院指定北京市金杜（深圳）律师事务所为特发华日清算组。清算组向法院报告工作，接受法院、公司债权人和股东的监督，在清算期间按照法定程序行使接管特发华日财产、印章和账簿以及决定特发华日内部管理事务、日常开支和其他必要开支等各项职权。在法院指定清算组后，特力公司丧失对特发华日的控制权，将持有的特发华日股权由按成本法计量的长期股权投资转为按公允价值计量的金融资产，相应确认投资收益69,552,580.12元。</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特发华日强制清算事项属于报告期的重大交易，对特力公司2023年度经营业绩影响重大，因此我们将子公司强制清算作为关键审计事项。</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2、审计应对</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我们对子公司强制清算实施的审计程序主要包括：</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（1）通过询问和查阅会议纪要，获取管理层特发华日股权持有意图及后续管理策略。</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（2）询问特发华日清算组律师，获取并检查特力公司常务法律顾问律师的法律意见书和法律事务确认函，以核实清算事项安排的真实性。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（3）基于特力公司实际情况，依据《企业会计准则第33号――合并财务报表》复核管理层对年报财务报表合并范围确定的合理性，判断与特发华日清算事项相关的会计处理是否恰当。</w:t>
      </w:r>
    </w:p>
    <w:p>
      <w:pPr>
        <w:spacing w:before="120" w:beforeLines="50" w:line="300" w:lineRule="auto"/>
        <w:ind w:firstLine="436" w:firstLineChars="200"/>
        <w:rPr>
          <w:rFonts w:hint="eastAsia" w:ascii="宋体" w:hAnsi="宋体" w:cs="宋体"/>
          <w:spacing w:val="4"/>
          <w:szCs w:val="21"/>
        </w:rPr>
      </w:pPr>
      <w:r>
        <w:rPr>
          <w:rFonts w:hint="eastAsia" w:ascii="宋体" w:hAnsi="宋体" w:eastAsia="宋体" w:cs="宋体"/>
          <w:spacing w:val="4"/>
          <w:sz w:val="21"/>
          <w:szCs w:val="21"/>
          <w:lang w:eastAsia="zh-CN"/>
        </w:rPr>
        <w:t>（4）获取特发华日清算组委托评估机构出具的清算基准日特发华日资产评估报告，了解并评价管理层聘用的评估机构的胜任能力、专业素质和客观性；利用事务所内部评估专家工作，复核评估方法、参数选取，评价方法的合理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（5）重新计算了特发华日强制清算形成的投资收益，并检查了管理层在财务报表附注中披露的充分性和适当性。</w:t>
      </w:r>
    </w:p>
    <w:p>
      <w:pPr>
        <w:spacing w:before="120" w:beforeLines="50" w:after="120" w:afterLines="50" w:line="300" w:lineRule="auto"/>
        <w:ind w:firstLine="420" w:firstLineChars="200"/>
        <w:jc w:val="both"/>
        <w:outlineLvl w:val="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四、其他信息</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特力公司管理层对其他信息负责。其他信息包括</w:t>
      </w:r>
      <w:r>
        <w:rPr>
          <w:rFonts w:hint="eastAsia" w:ascii="宋体" w:hAnsi="宋体" w:eastAsia="宋体" w:cs="宋体"/>
          <w:color w:val="auto"/>
          <w:spacing w:val="4"/>
          <w:sz w:val="21"/>
          <w:szCs w:val="21"/>
          <w:lang w:eastAsia="zh-CN"/>
        </w:rPr>
        <w:t>特力公司2023年度报告中涵</w:t>
      </w:r>
      <w:r>
        <w:rPr>
          <w:rFonts w:hint="eastAsia" w:ascii="宋体" w:hAnsi="宋体" w:eastAsia="宋体" w:cs="宋体"/>
          <w:spacing w:val="4"/>
          <w:sz w:val="21"/>
          <w:szCs w:val="21"/>
          <w:lang w:eastAsia="zh-CN"/>
        </w:rPr>
        <w:t>盖的信息，但不包括财务报表和我们的审计报告。</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我们对财务报表发表的审计意见不涵盖其他信息，我们也不对其他信息发表任何形式的鉴证结论。</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结合我们对财务报表的审计，我们的责任是阅读其他信息，在此过程中，考虑其他信息是否与财务报表或我们在审计过程中了解到的情况存在重大不一致或者似乎存在重大错报。</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基于我们已执行的工作，如果我们确定其他信息存在重大错报，我们应当报告该事实。在这方面，我们无任何事项需要报告。</w:t>
      </w:r>
    </w:p>
    <w:p>
      <w:pPr>
        <w:spacing w:before="120" w:beforeLines="50" w:after="120" w:afterLines="50" w:line="300" w:lineRule="auto"/>
        <w:ind w:firstLine="420" w:firstLineChars="200"/>
        <w:jc w:val="both"/>
        <w:outlineLvl w:val="0"/>
        <w:rPr>
          <w:rFonts w:hint="eastAsia" w:ascii="宋体" w:hAnsi="宋体" w:eastAsia="宋体" w:cs="宋体"/>
          <w:b/>
          <w:bCs/>
          <w:sz w:val="21"/>
          <w:szCs w:val="21"/>
        </w:rPr>
      </w:pPr>
      <w:r>
        <w:rPr>
          <w:rFonts w:hint="eastAsia" w:ascii="宋体" w:hAnsi="宋体" w:eastAsia="宋体" w:cs="宋体"/>
          <w:b/>
          <w:bCs/>
          <w:sz w:val="21"/>
          <w:szCs w:val="21"/>
        </w:rPr>
        <w:t>五、管理层和治理层对财务报表的责任</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特力公司管理层负责按照企业会计准则的规定编制财务报表，使其实现公允反映，并设计、执行和维护必要的内部控制，以使财务报表不存在由于舞弊或错误导致的重大错报。</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在编制财务报表时，管理层负责评估特力公司的持续经营能力，披露与持续经营相关的事项（如适用），并运用持续经营假设，除非管理层计划清算特力公司、终止运营或别无其他现实的选择。</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治理层负责监督特力公司的财务报告过程。</w:t>
      </w:r>
    </w:p>
    <w:p>
      <w:pPr>
        <w:spacing w:before="120" w:beforeLines="50" w:after="120" w:afterLines="50" w:line="300" w:lineRule="auto"/>
        <w:ind w:firstLine="420" w:firstLineChars="200"/>
        <w:jc w:val="both"/>
        <w:outlineLvl w:val="0"/>
        <w:rPr>
          <w:rFonts w:hint="eastAsia" w:ascii="宋体" w:hAnsi="宋体" w:eastAsia="宋体" w:cs="宋体"/>
          <w:b/>
          <w:bCs/>
          <w:sz w:val="21"/>
          <w:szCs w:val="21"/>
        </w:rPr>
      </w:pPr>
      <w:r>
        <w:rPr>
          <w:rFonts w:hint="eastAsia" w:ascii="宋体" w:hAnsi="宋体" w:eastAsia="宋体" w:cs="宋体"/>
          <w:b/>
          <w:bCs/>
          <w:sz w:val="21"/>
          <w:szCs w:val="21"/>
        </w:rPr>
        <w:t>六、注册会计师对财务报表审计的责任</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在按照审计准则执行审计工作的过程中，我们运用职业判断，并保持职业怀疑。同时，我们也执行以下工作：</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（2）了解与审计相关的内部控制，以设计恰当的审计程序</w:t>
      </w:r>
      <w:r>
        <w:rPr>
          <w:rFonts w:hint="eastAsia" w:ascii="宋体" w:hAnsi="宋体" w:eastAsia="宋体" w:cs="宋体"/>
          <w:color w:val="0000FF"/>
          <w:spacing w:val="4"/>
          <w:sz w:val="21"/>
          <w:szCs w:val="21"/>
          <w:lang w:eastAsia="zh-CN"/>
        </w:rPr>
        <w:t>。</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（3）评价管理层选用会计政策的恰当性和作出会计估计及相关披露的合理性。</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4）对管理层使用持续经营假设的恰当性得出结论。同时，根据获取的审计证据，就可能导致对特力公司的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特力公司不能持续经营。</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（5）评价财务报表的总体列报、结构和内容，并评价财务报表是否公允反映相关交易和事项。</w:t>
      </w:r>
    </w:p>
    <w:p>
      <w:pPr>
        <w:spacing w:before="120" w:beforeLines="50" w:line="300" w:lineRule="auto"/>
        <w:ind w:firstLine="436" w:firstLineChars="200"/>
        <w:jc w:val="both"/>
        <w:rPr>
          <w:rFonts w:hint="eastAsia" w:ascii="宋体" w:hAnsi="宋体" w:eastAsia="宋体" w:cs="宋体"/>
          <w:color w:val="0000FF"/>
          <w:spacing w:val="4"/>
          <w:sz w:val="21"/>
          <w:szCs w:val="21"/>
          <w:lang w:eastAsia="zh-CN"/>
        </w:rPr>
      </w:pPr>
      <w:r>
        <w:rPr>
          <w:rFonts w:hint="eastAsia" w:ascii="宋体" w:hAnsi="宋体" w:eastAsia="宋体" w:cs="宋体"/>
          <w:spacing w:val="4"/>
          <w:sz w:val="21"/>
          <w:szCs w:val="21"/>
          <w:lang w:eastAsia="zh-CN"/>
        </w:rPr>
        <w:t>（6）就特力公司中实体或业务活动的财务信息获取充分、适当的审计证据，以对财务报表发表意见。我们负责指导、监督和执行集团审计，并对审计意见承担全部责任。</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我们与治理层就计划的审计范围、时间安排和重大审计发现等事项进行沟通，包括沟通我们在审计中识别出的值得关注的内部控制缺陷。</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我们还就已遵守与独立性相关的职业道德要求向治理层提供声明，并与治理层沟通可能被合理认为影响我们独立性的所有关系和其他事项，以及相关的防范措施（如适用）。</w:t>
      </w:r>
    </w:p>
    <w:p>
      <w:pPr>
        <w:spacing w:before="120" w:beforeLines="50" w:line="300" w:lineRule="auto"/>
        <w:ind w:firstLine="436" w:firstLineChars="200"/>
        <w:jc w:val="both"/>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keepNext/>
        <w:keepLines/>
        <w:spacing w:before="300" w:after="300" w:line="320" w:lineRule="exact"/>
        <w:jc w:val="left"/>
        <w:outlineLvl w:val="1"/>
        <w:rPr>
          <w:rFonts w:ascii="宋体" w:hAnsi="宋体" w:eastAsia="宋体" w:cs="宋体"/>
          <w:b/>
          <w:bCs/>
          <w:sz w:val="24"/>
          <w:szCs w:val="24"/>
        </w:rPr>
      </w:pPr>
      <w:r>
        <w:rPr>
          <w:rFonts w:ascii="宋体" w:hAnsi="宋体" w:eastAsia="宋体" w:cs="宋体"/>
          <w:b/>
          <w:bCs/>
          <w:sz w:val="24"/>
          <w:szCs w:val="24"/>
        </w:rPr>
        <w:t>二、财务报表</w:t>
      </w:r>
      <w:bookmarkEnd w:id="147"/>
    </w:p>
    <w:p>
      <w:pPr>
        <w:spacing w:before="40" w:after="40" w:line="240" w:lineRule="exact"/>
        <w:jc w:val="left"/>
        <w:rPr>
          <w:rFonts w:ascii="宋体" w:hAnsi="宋体" w:eastAsia="宋体" w:cs="宋体"/>
          <w:sz w:val="18"/>
          <w:szCs w:val="18"/>
        </w:rPr>
      </w:pPr>
      <w:r>
        <w:rPr>
          <w:rFonts w:ascii="宋体" w:hAnsi="宋体" w:eastAsia="宋体" w:cs="宋体"/>
          <w:sz w:val="18"/>
          <w:szCs w:val="18"/>
        </w:rPr>
        <w:t>财务附注中报表的单位为：元</w:t>
      </w:r>
    </w:p>
    <w:p>
      <w:pPr>
        <w:keepNext/>
        <w:keepLines/>
        <w:spacing w:before="300" w:after="300" w:line="280" w:lineRule="exact"/>
        <w:jc w:val="left"/>
        <w:outlineLvl w:val="2"/>
        <w:rPr>
          <w:rFonts w:ascii="宋体" w:hAnsi="宋体" w:eastAsia="宋体" w:cs="宋体"/>
          <w:b/>
          <w:bCs/>
          <w:sz w:val="21"/>
          <w:szCs w:val="21"/>
        </w:rPr>
      </w:pPr>
      <w:bookmarkStart w:id="148" w:name="_Toc989037"/>
      <w:r>
        <w:rPr>
          <w:rFonts w:ascii="宋体" w:hAnsi="宋体" w:eastAsia="宋体" w:cs="宋体"/>
          <w:b/>
          <w:bCs/>
          <w:sz w:val="21"/>
          <w:szCs w:val="21"/>
        </w:rPr>
        <w:t>1、合并资产负债表</w:t>
      </w:r>
      <w:bookmarkEnd w:id="148"/>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编制单位：深圳市特力(集团)股份有限公司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2023年12月31日</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220,340,961.64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413,028,327.36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206,294,931.94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176,133,569.95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87,812,500.00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99,635,751.52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41,752,179.56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38,454,434.90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8,127,252.94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12,383,516.92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7,663,570.87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178,425,833.88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116,069,675.39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55,206,250.00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104,833,797.59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18,346,711.55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915,873,798.39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868,933,787.62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76,511,487.57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81,024,365.94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383,317.67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10,176,617.20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1,008,137,341.80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516,360,139.45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78,935,843.49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102,689,546.42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71,904,716.50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4,181,242.86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3,915,770.61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49,808,015.72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38,392,179.02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25,876,099.49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37,836,657.43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8,518,233.77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97,053,053.32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154,526,946.83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1,487,977,886.06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1,363,094,766.95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2,403,851,684.45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2,232,028,554.57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145,131,694.44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18,572,684.91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489,360.00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135,834,414.39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124,716,800.71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4,306,567.65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6,119,377.90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7,079,975.38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9,259,658.43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33,425,356.15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38,550,181.70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28,857,448.06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18,891,792.84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126,826,966.60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105,180,279.00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7,304,647.32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2,009,819.15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3,388,998.35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68,361,007.70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549,039,403.10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412,150,962.34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69,524,214.23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2,926,184.93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9,617,683.53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10,579,545.71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40,409,890.41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1,135,031.11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123,740,363.33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163,649,848.33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672,779,766.43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575,800,810.67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430,866,408.50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-7,318,552.65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685,342,592.62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590,605,394.67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1,603,905,054.93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1,505,638,863.31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127,166,863.09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150,588,880.59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1,731,071,918.02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1,656,227,743.90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2,403,851,684.45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2,232,028,554.57</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法定代表人：富春龙    主管会计工作负责人：黄田阳      会计机构负责人：余太平</w:t>
      </w:r>
    </w:p>
    <w:p>
      <w:pPr>
        <w:keepNext/>
        <w:keepLines/>
        <w:spacing w:before="300" w:after="300" w:line="280" w:lineRule="exact"/>
        <w:jc w:val="left"/>
        <w:outlineLvl w:val="2"/>
        <w:rPr>
          <w:rFonts w:ascii="宋体" w:hAnsi="宋体" w:eastAsia="宋体" w:cs="宋体"/>
          <w:b/>
          <w:bCs/>
          <w:sz w:val="21"/>
          <w:szCs w:val="21"/>
        </w:rPr>
      </w:pPr>
      <w:bookmarkStart w:id="149" w:name="_Toc989038"/>
      <w:r>
        <w:rPr>
          <w:rFonts w:ascii="宋体" w:hAnsi="宋体" w:eastAsia="宋体" w:cs="宋体"/>
          <w:b/>
          <w:bCs/>
          <w:sz w:val="21"/>
          <w:szCs w:val="21"/>
        </w:rPr>
        <w:t>2、母公司资产负债表</w:t>
      </w:r>
      <w:bookmarkEnd w:id="149"/>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8,805,213.07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169,733,887.28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205,942,363.02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176,133,569.95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22,080,192.24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147,200.91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16,240.74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249,559.50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47,432,527.04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4,966,987.96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75,546,888.89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137,126.11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359,823,425.00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351,368,331.71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47,081,615.27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770,687,026.69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865,313,838.67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383,317.67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10,176,617.20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545,303,744.96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26,915,545.20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15,211,321.18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16,433,526.75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589,761.00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419,793,938.49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74,533,199.59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2,559,885.65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48,413,279.08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21,243,445.23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8,465,289.34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31,956,786.10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3,415,402.97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69,580,748.31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73,340,576.28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1,579,130,851.65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1,472,268,013.98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1,938,954,276.65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1,823,636,345.69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71,449,469.14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58,797,324.02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1,060,721.19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962,064.00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27,402,400.00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28,220,652.45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13,335,268.63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3,317,946.24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271,180,563.27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249,870,213.63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6,706,250.92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1,810,007.31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392,944,680.46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341,168,200.34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72,936,147.42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40,269,279.16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113,205,426.58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506,150,107.04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485,988,711.76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516,878,406.57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425,834,010.57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1,432,804,169.61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1,337,647,633.93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1,938,954,276.65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1,823,636,345.69</w:t>
            </w:r>
          </w:p>
        </w:tc>
      </w:tr>
    </w:tbl>
    <w:p>
      <w:pPr>
        <w:keepNext/>
        <w:keepLines/>
        <w:spacing w:before="300" w:after="300" w:line="280" w:lineRule="exact"/>
        <w:jc w:val="left"/>
        <w:outlineLvl w:val="2"/>
        <w:rPr>
          <w:rFonts w:ascii="宋体" w:hAnsi="宋体" w:eastAsia="宋体" w:cs="宋体"/>
          <w:b/>
          <w:bCs/>
          <w:sz w:val="21"/>
          <w:szCs w:val="21"/>
        </w:rPr>
      </w:pPr>
      <w:bookmarkStart w:id="150" w:name="_Toc989039"/>
      <w:r>
        <w:rPr>
          <w:rFonts w:ascii="宋体" w:hAnsi="宋体" w:eastAsia="宋体" w:cs="宋体"/>
          <w:b/>
          <w:bCs/>
          <w:sz w:val="21"/>
          <w:szCs w:val="21"/>
        </w:rPr>
        <w:t>3、合并利润表</w:t>
      </w:r>
      <w:bookmarkEnd w:id="15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1,783,821,294.20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773,501,949.10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1,648,337,199.60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700,289,243.42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提取保险责任合同准备金净额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23,230,109.06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7,334,212.76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19,128,514.75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22,034,712.48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85,621,795.09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47,077,679.99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1,965,795.78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802,753.80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5,537,879.92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-4,036,653.35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9,444,953.16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338,730.75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4,682,945.54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5,472,748.37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8,491,050.39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6,624,873.28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93,873,513.18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33,372,099.57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10,897,171.28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-12,008,283.18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-1,592,750.24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-714,346.29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-1,635,359.90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-1,046,935.57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-1,839,486.29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-59,110.10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40,765.92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151,453,436.12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99,124,467.75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2,390,834.30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4,134,654.43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319,297.02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416,462.25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153,524,973.40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102,842,659.93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42,084,506.48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21,523,196.08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111,440,466.92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81,319,463.85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111,440,466.92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81,319,463.85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1.归属于母公司股东的净利润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118,255,140.84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-6,814,673.92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-2,176,671.76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104,095,492.27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81,319,463.85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110,910,166.19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-6,814,673.92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-2,176,671.76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0.1937</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本期发生同一控制下企业合并的，被合并方在合并前实现的净利润为：元，上期被合并方实现的净利润为：元。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法定代表人：富春龙    主管会计工作负责人：黄田阳    会计机构负责人：余太平</w:t>
      </w:r>
    </w:p>
    <w:p>
      <w:pPr>
        <w:keepNext/>
        <w:keepLines/>
        <w:spacing w:before="300" w:after="300" w:line="280" w:lineRule="exact"/>
        <w:jc w:val="left"/>
        <w:outlineLvl w:val="2"/>
        <w:rPr>
          <w:rFonts w:ascii="宋体" w:hAnsi="宋体" w:eastAsia="宋体" w:cs="宋体"/>
          <w:b/>
          <w:bCs/>
          <w:sz w:val="21"/>
          <w:szCs w:val="21"/>
        </w:rPr>
      </w:pPr>
      <w:bookmarkStart w:id="151" w:name="_Toc989040"/>
      <w:r>
        <w:rPr>
          <w:rFonts w:ascii="宋体" w:hAnsi="宋体" w:eastAsia="宋体" w:cs="宋体"/>
          <w:b/>
          <w:bCs/>
          <w:sz w:val="21"/>
          <w:szCs w:val="21"/>
        </w:rPr>
        <w:t>4、母公司利润表</w:t>
      </w:r>
      <w:bookmarkEnd w:id="1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86,993,917.15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39,568,530.33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39,689,422.24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10,680,130.69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13,736,806.06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1,102,099.28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4,396,824.98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50,763,196.78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36,500,937.81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3,446,761.53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-2,003,919.64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3,344,312.82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1,929,975.93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2,226,376.85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112,656.14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164,693,779.53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267,169,944.69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10,897,171.28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以摊余成本计量的金融资产终止确认收益（损失以“-”号填列）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-10,680,391.42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-633,155.32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-350,592.82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-69,164.09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128,624,200.85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259,869,563.61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577,326.80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74,563.02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111,423.00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396,639.55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129,090,104.65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259,547,487.08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14,518,961.36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20,566.71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107,226,168.64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152" w:name="_Toc989041"/>
      <w:r>
        <w:rPr>
          <w:rFonts w:ascii="宋体" w:hAnsi="宋体" w:eastAsia="宋体" w:cs="宋体"/>
          <w:b/>
          <w:bCs/>
          <w:sz w:val="21"/>
          <w:szCs w:val="21"/>
        </w:rPr>
        <w:t>5、合并现金流量表</w:t>
      </w:r>
      <w:bookmarkEnd w:id="1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2023年度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1,963,588,534.65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969,342,149.01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2,622,913.63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11,635,764.89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53,294,743.09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23,320,266.93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2,019,506,191.37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1,004,298,180.83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1,817,964,267.12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895,794,039.65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92,874,692.73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66,872,318.98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61,298,201.45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74,780,657.47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107,509,036.53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18,818,929.02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2,079,646,197.83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1,056,265,945.12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-60,140,006.46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-51,967,764.29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628,726,990.40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1,333,567,068.74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28,100,805.87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31,135,993.24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9,871,552.72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7,764,134.42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10,712,284.16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15,998,484.00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677,411,633.15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1,388,465,680.40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84,887,465.21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152,045,278.38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717,659,265.39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1,177,618,780.00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8,072,396.24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8,955,842.00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810,619,126.84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1,338,619,900.38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-133,207,493.69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49,845,780.02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359,669,472.83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77,924,339.14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253,420.00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359,922,892.83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206,424,339.14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358,930,058.69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31,604,191.60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20,834,386.73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7,224,685.15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2,874,145.90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397,758,935.44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23,708,532.63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-37,836,042.61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182,715,806.51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-842,578.74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-231,183,441.67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179,751,243.50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211,655,585.86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160,223,387.69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r>
    </w:tbl>
    <w:p>
      <w:pPr>
        <w:keepNext/>
        <w:keepLines/>
        <w:spacing w:before="300" w:after="300" w:line="280" w:lineRule="exact"/>
        <w:jc w:val="left"/>
        <w:outlineLvl w:val="2"/>
        <w:rPr>
          <w:rFonts w:ascii="宋体" w:hAnsi="宋体" w:eastAsia="宋体" w:cs="宋体"/>
          <w:b/>
          <w:bCs/>
          <w:sz w:val="21"/>
          <w:szCs w:val="21"/>
        </w:rPr>
      </w:pPr>
      <w:bookmarkStart w:id="153" w:name="_Toc989042"/>
      <w:r>
        <w:rPr>
          <w:rFonts w:ascii="宋体" w:hAnsi="宋体" w:eastAsia="宋体" w:cs="宋体"/>
          <w:b/>
          <w:bCs/>
          <w:sz w:val="21"/>
          <w:szCs w:val="21"/>
        </w:rPr>
        <w:t>6、母公司现金流量表</w:t>
      </w:r>
      <w:bookmarkEnd w:id="153"/>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2023年度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70,665,037.25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42,472,472.08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8,518,912.36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82,641,549.03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106,200,586.64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153,306,586.28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157,191,971.08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9,354,262.26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44,299,496.50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32,704,526.01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5,286,561.86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2,536,644.11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61,287,642.06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5,514,674.90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120,227,962.68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40,755,845.02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33,078,623.60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116,436,126.06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414,826,990.40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96,430,863.56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29,719,248.83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10,712,284.16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15,998,484.00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521,970,138.12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1,215,718,232.83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74,600,974.42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153,782,004.60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467,006,215.27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1,131,118,780.00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541,607,189.69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1,284,900,784.60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-19,637,051.57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-69,182,551.77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25,693,122.83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57,924,339.14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25,693,122.83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57,924,339.14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169,953,708.69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15,656,389.63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15,834,386.73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1,787,614.75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187,397,713.07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15,834,386.73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-161,704,590.24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42,089,952.41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-209,635.24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-148,263,018.21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89,133,891.46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157,068,231.28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67,934,339.82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8,805,213.07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157,068,231.28</w:t>
            </w:r>
          </w:p>
        </w:tc>
      </w:tr>
    </w:tbl>
    <w:p>
      <w:pPr>
        <w:keepNext/>
        <w:keepLines/>
        <w:spacing w:before="300" w:after="300" w:line="280" w:lineRule="exact"/>
        <w:jc w:val="left"/>
        <w:outlineLvl w:val="2"/>
        <w:rPr>
          <w:rFonts w:ascii="宋体" w:hAnsi="宋体" w:eastAsia="宋体" w:cs="宋体"/>
          <w:b/>
          <w:bCs/>
          <w:sz w:val="21"/>
          <w:szCs w:val="21"/>
        </w:rPr>
      </w:pPr>
      <w:bookmarkStart w:id="154" w:name="_Toc989043"/>
      <w:r>
        <w:rPr>
          <w:rFonts w:ascii="宋体" w:hAnsi="宋体" w:eastAsia="宋体" w:cs="宋体"/>
          <w:b/>
          <w:bCs/>
          <w:sz w:val="21"/>
          <w:szCs w:val="21"/>
        </w:rPr>
        <w:t>7、合并所有者权益变动表</w:t>
      </w:r>
      <w:bookmarkEnd w:id="154"/>
    </w:p>
    <w:p>
      <w:pPr>
        <w:spacing w:before="0" w:after="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0" w:lineRule="exact"/>
              <w:jc w:val="center"/>
              <w:rPr>
                <w:rFonts w:ascii="宋体" w:hAnsi="宋体" w:eastAsia="宋体" w:cs="宋体"/>
                <w:sz w:val="18"/>
                <w:szCs w:val="18"/>
              </w:rPr>
            </w:pPr>
            <w:r>
              <w:rPr>
                <w:rFonts w:ascii="宋体" w:hAnsi="宋体" w:eastAsia="宋体" w:cs="宋体"/>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590,605,394.67</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1,505,638,863.31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150,588,880.59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1,656,227,743.90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8,804.40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8,804.40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590,614,199.07</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1,505,647,667.71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150,588,880.59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1,656,236,548.30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-583,146.01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94,728,393.55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98,257,387.22</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-23,422,017.50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74,835,369.72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118,255,140.84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110,910,166.19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-6,814,673.92</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104,095,492.27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-23,526,747.29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-583,146.01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-583,146.01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-11,707,343.58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-12,290,489.59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430,866,408.50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-7,318,552.65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685,342,592.62</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1,603,905,054.93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127,166,863.09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1,731,071,918.02</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上期金额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26,546,480.09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543,843,496.85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1,432,924,273.45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24,265,552.35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1,457,189,825.80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26,546,480.09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543,843,496.85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1,432,924,273.45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24,265,552.35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1,457,189,825.80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46,761,897.82</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72,714,589.86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126,323,328.24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199,037,918.10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-2,176,671.76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81,319,463.85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-36,734,237.79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590,605,394.67</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1,505,638,863.31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150,588,880.59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1,656,227,743.90</w:t>
            </w:r>
          </w:p>
        </w:tc>
      </w:tr>
    </w:tbl>
    <w:p>
      <w:pPr>
        <w:keepNext/>
        <w:keepLines/>
        <w:spacing w:before="300" w:after="300" w:line="280" w:lineRule="exact"/>
        <w:jc w:val="left"/>
        <w:outlineLvl w:val="2"/>
        <w:rPr>
          <w:rFonts w:ascii="宋体" w:hAnsi="宋体" w:eastAsia="宋体" w:cs="宋体"/>
          <w:b/>
          <w:bCs/>
          <w:sz w:val="21"/>
          <w:szCs w:val="21"/>
        </w:rPr>
      </w:pPr>
      <w:bookmarkStart w:id="155" w:name="_Toc989044"/>
      <w:r>
        <w:rPr>
          <w:rFonts w:ascii="宋体" w:hAnsi="宋体" w:eastAsia="宋体" w:cs="宋体"/>
          <w:b/>
          <w:bCs/>
          <w:sz w:val="21"/>
          <w:szCs w:val="21"/>
        </w:rPr>
        <w:t>8、母公司所有者权益变动表</w:t>
      </w:r>
      <w:bookmarkEnd w:id="155"/>
    </w:p>
    <w:p>
      <w:pPr>
        <w:spacing w:before="40" w:after="4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2023年度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425,834,010.57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1,337,647,633.93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425,834,010.57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1,337,647,633.93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91,044,396.00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95,156,535.68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114,571,143.29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107,226,168.64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-23,526,747.29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516,878,406.57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1,432,804,169.61</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上期金额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26,546,480.09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203,041,327.99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1,088,902,259.31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26,546,480.09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203,041,327.99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1,088,902,259.31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222,792,682.58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248,745,374.62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259,526,920.37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-36,734,237.79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428,256,131.23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425,834,010.57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1,337,647,633.93</w:t>
            </w:r>
          </w:p>
        </w:tc>
      </w:tr>
    </w:tbl>
    <w:p>
      <w:pPr>
        <w:keepNext/>
        <w:keepLines/>
        <w:spacing w:before="300" w:after="300" w:line="320" w:lineRule="exact"/>
        <w:jc w:val="left"/>
        <w:outlineLvl w:val="1"/>
        <w:rPr>
          <w:rFonts w:ascii="宋体" w:hAnsi="宋体" w:eastAsia="宋体" w:cs="宋体"/>
          <w:b/>
          <w:bCs/>
          <w:sz w:val="24"/>
          <w:szCs w:val="24"/>
        </w:rPr>
      </w:pPr>
      <w:bookmarkStart w:id="156" w:name="_Toc989045"/>
      <w:r>
        <w:rPr>
          <w:rFonts w:ascii="宋体" w:hAnsi="宋体" w:eastAsia="宋体" w:cs="宋体"/>
          <w:b/>
          <w:bCs/>
          <w:sz w:val="24"/>
          <w:szCs w:val="24"/>
        </w:rPr>
        <w:t>三、公司基本情况</w:t>
      </w:r>
      <w:bookmarkEnd w:id="156"/>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深圳市特力（集团）股份有限公司（以下简称</w:t>
      </w:r>
      <w:r>
        <w:rPr>
          <w:rFonts w:hint="eastAsia" w:ascii="宋体" w:hAnsi="宋体" w:cs="宋体"/>
          <w:sz w:val="21"/>
          <w:szCs w:val="21"/>
          <w:lang w:eastAsia="zh-CN"/>
        </w:rPr>
        <w:t>“</w:t>
      </w:r>
      <w:r>
        <w:rPr>
          <w:rFonts w:hint="eastAsia" w:ascii="宋体" w:hAnsi="宋体" w:eastAsia="宋体" w:cs="宋体"/>
          <w:sz w:val="21"/>
          <w:szCs w:val="21"/>
        </w:rPr>
        <w:t>本公司</w:t>
      </w:r>
      <w:r>
        <w:rPr>
          <w:rFonts w:hint="eastAsia" w:ascii="宋体" w:hAnsi="宋体" w:cs="宋体"/>
          <w:sz w:val="21"/>
          <w:szCs w:val="21"/>
          <w:lang w:eastAsia="zh-CN"/>
        </w:rPr>
        <w:t>”</w:t>
      </w:r>
      <w:r>
        <w:rPr>
          <w:rFonts w:hint="eastAsia" w:ascii="宋体" w:hAnsi="宋体" w:eastAsia="宋体" w:cs="宋体"/>
          <w:sz w:val="21"/>
          <w:szCs w:val="21"/>
        </w:rPr>
        <w:t>或</w:t>
      </w:r>
      <w:r>
        <w:rPr>
          <w:rFonts w:hint="eastAsia" w:ascii="宋体" w:hAnsi="宋体" w:cs="宋体"/>
          <w:sz w:val="21"/>
          <w:szCs w:val="21"/>
          <w:lang w:eastAsia="zh-CN"/>
        </w:rPr>
        <w:t>“</w:t>
      </w:r>
      <w:r>
        <w:rPr>
          <w:rFonts w:hint="eastAsia" w:ascii="宋体" w:hAnsi="宋体" w:eastAsia="宋体" w:cs="宋体"/>
          <w:sz w:val="21"/>
          <w:szCs w:val="21"/>
        </w:rPr>
        <w:t>公司</w:t>
      </w:r>
      <w:r>
        <w:rPr>
          <w:rFonts w:hint="eastAsia" w:ascii="宋体" w:hAnsi="宋体" w:cs="宋体"/>
          <w:sz w:val="21"/>
          <w:szCs w:val="21"/>
          <w:lang w:eastAsia="zh-CN"/>
        </w:rPr>
        <w:t>”</w:t>
      </w:r>
      <w:r>
        <w:rPr>
          <w:rFonts w:hint="eastAsia" w:ascii="宋体" w:hAnsi="宋体" w:eastAsia="宋体" w:cs="宋体"/>
          <w:sz w:val="21"/>
          <w:szCs w:val="21"/>
        </w:rPr>
        <w:t>）系经深圳市人民政府办公厅《关于深圳市机械工业公司改组为深圳市特力机械股份有限公司的批复》（深府办复[1991]1012号）批准，由原深圳市机械工业公司改组设立的股份有限公司，于1986年 11 月10日在深圳市工商行政管理局登记注册。公司现持有统一社会信用代码为91440300192192210U的营业执照，注册资本人民币431,058,320.0</w:t>
      </w:r>
      <w:r>
        <w:rPr>
          <w:rFonts w:hint="eastAsia" w:ascii="宋体" w:hAnsi="宋体" w:cs="宋体"/>
          <w:sz w:val="21"/>
          <w:szCs w:val="21"/>
          <w:lang w:val="en-US" w:eastAsia="zh-CN"/>
        </w:rPr>
        <w:t>0</w:t>
      </w:r>
      <w:r>
        <w:rPr>
          <w:rFonts w:hint="eastAsia" w:ascii="宋体" w:hAnsi="宋体" w:eastAsia="宋体" w:cs="宋体"/>
          <w:sz w:val="21"/>
          <w:szCs w:val="21"/>
        </w:rPr>
        <w:t>元，股份总数431,058,320 股，其中无限售条件的流通股份A股392,778,320股，B股38,280,000股。公司总部的经营地址深圳市罗湖区水贝二路特力大厦3、4楼。法定代表人富春龙。</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1993年，经深圳市人民政府办公厅《关于深圳市特力机械股份有限公司改组为公众股份有限公司的批复》（深府办复[1992]1850号）、中国人民银行深圳经济特区分行《关于深圳市特力机电股份有限公司发行股票的批复》（深人银复字[1993]第092号）批准，公司首次公开发行股票，改组为公众股份有限公司，注册资本为人民币166,880,000.00元，股本总数166,880,000股，其中：原有资产折股120,900,000股，发行股票：A股25,980,000股，B股20,000,000股。公司股票面值为每股人民币1元。1993年6月21日，公司股票在深圳证券交易所挂牌交易。</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根据本公司1993年度股东大会决议，本公司以当年12月31日股本166,880,000股为基数，向全体股东按每10股送2股派发现金红利0.5元，共计送股33,376,000股，并于1994年度实施。送股后，注册资本增至人民币200,256,000.00元。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本公司1994年度股东大会决议，本公司以当年12月31日股本20,025.60万股为基数，向全体股东每10股送0.5股并转增0.5股派发现金红利0.5元，共计转增20,025,600股，并于1995年度实施。送股并转增后，注册资本增至人民币220,281,600.00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本公司1994年度股东大会决议，本公司以当年12月31日股本20,025.60万股为基数，向全体股东每10股送0.5股并转增0.5股派发现金红利0.5元，共计转增20,025,600股，并于1995年度实施。送股并转增后，注册资本增至人民币220,281,600.00元。根据本公司2014年第四次临时股东大会决议，经中国证券监督管理委员会《关于核准深圳市特力（集团）股份有限公司非公开发行股票的批复》（证监许可[2015]173号）核准，本公司2015年度向深圳市特发集团有限公司和深圳远致富海珠宝产业投资企业（有限合伙）非公开发行普通股A股77,000,000股。增发后，注册资本增至人民币297,281,600.00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根据本公司2018年度股东大会决议，本公司以当年12月31日股本297,281,600股为基数，以资本公积向全体股东每10股转增4.5股，共计转增133,776,720股，并于2019年度实施。转增后，注册资本增至人民币431,058,320.00元。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主要经营活动：物业租赁及服务、珠宝运营、汽车销售、汽车维修及检测等。</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本财务报表及财务报表附注业经本</w:t>
      </w:r>
      <w:r>
        <w:rPr>
          <w:rFonts w:hint="eastAsia" w:ascii="宋体" w:hAnsi="宋体" w:eastAsia="宋体" w:cs="宋体"/>
          <w:color w:val="000000"/>
          <w:sz w:val="21"/>
          <w:szCs w:val="21"/>
        </w:rPr>
        <w:t>公司</w:t>
      </w:r>
      <w:r>
        <w:rPr>
          <w:rFonts w:hint="eastAsia" w:ascii="宋体" w:hAnsi="宋体" w:eastAsia="宋体" w:cs="宋体"/>
          <w:color w:val="000000"/>
          <w:sz w:val="21"/>
          <w:szCs w:val="21"/>
          <w:shd w:val="clear" w:fill="FFFFFF"/>
        </w:rPr>
        <w:t>第十届董事会第十次正式会议于2024年3月26日批准。</w:t>
      </w:r>
    </w:p>
    <w:p>
      <w:pPr>
        <w:keepNext/>
        <w:keepLines/>
        <w:spacing w:before="300" w:after="300" w:line="320" w:lineRule="exact"/>
        <w:jc w:val="left"/>
        <w:outlineLvl w:val="1"/>
        <w:rPr>
          <w:rFonts w:ascii="宋体" w:hAnsi="宋体" w:eastAsia="宋体" w:cs="宋体"/>
          <w:b/>
          <w:bCs/>
          <w:sz w:val="24"/>
          <w:szCs w:val="24"/>
        </w:rPr>
      </w:pPr>
      <w:bookmarkStart w:id="157" w:name="_Toc989046"/>
      <w:r>
        <w:rPr>
          <w:rFonts w:ascii="宋体" w:hAnsi="宋体" w:eastAsia="宋体" w:cs="宋体"/>
          <w:b/>
          <w:bCs/>
          <w:sz w:val="24"/>
          <w:szCs w:val="24"/>
        </w:rPr>
        <w:t>四、财务报表的编制基础</w:t>
      </w:r>
      <w:bookmarkEnd w:id="157"/>
    </w:p>
    <w:p>
      <w:pPr>
        <w:keepNext/>
        <w:keepLines/>
        <w:spacing w:before="300" w:after="300" w:line="280" w:lineRule="exact"/>
        <w:jc w:val="left"/>
        <w:outlineLvl w:val="2"/>
        <w:rPr>
          <w:rFonts w:ascii="宋体" w:hAnsi="宋体" w:eastAsia="宋体" w:cs="宋体"/>
          <w:b/>
          <w:bCs/>
          <w:sz w:val="21"/>
          <w:szCs w:val="21"/>
        </w:rPr>
      </w:pPr>
      <w:bookmarkStart w:id="158" w:name="_Toc989047"/>
      <w:r>
        <w:rPr>
          <w:rFonts w:ascii="宋体" w:hAnsi="宋体" w:eastAsia="宋体" w:cs="宋体"/>
          <w:b/>
          <w:bCs/>
          <w:sz w:val="21"/>
          <w:szCs w:val="21"/>
        </w:rPr>
        <w:t>1、编制基础</w:t>
      </w:r>
      <w:bookmarkEnd w:id="158"/>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财务报表按照财政部发布的企业会计准则及其应用指南、解释及其他有关规定（统称：“企业会计准则”）编制。此外，本公司还按照中国证监会《公开发行证券的公司信息披露编报规则第15号——财务报告的一般规定（2023年修订）》披露有关财务信息。</w:t>
      </w:r>
    </w:p>
    <w:p>
      <w:pPr>
        <w:keepNext/>
        <w:keepLines/>
        <w:spacing w:before="300" w:after="300" w:line="280" w:lineRule="exact"/>
        <w:jc w:val="left"/>
        <w:outlineLvl w:val="2"/>
        <w:rPr>
          <w:rFonts w:ascii="宋体" w:hAnsi="宋体" w:eastAsia="宋体" w:cs="宋体"/>
          <w:b/>
          <w:bCs/>
          <w:sz w:val="21"/>
          <w:szCs w:val="21"/>
        </w:rPr>
      </w:pPr>
      <w:bookmarkStart w:id="159" w:name="_Toc989048"/>
      <w:r>
        <w:rPr>
          <w:rFonts w:ascii="宋体" w:hAnsi="宋体" w:eastAsia="宋体" w:cs="宋体"/>
          <w:b/>
          <w:bCs/>
          <w:sz w:val="21"/>
          <w:szCs w:val="21"/>
        </w:rPr>
        <w:t>2、持续经营</w:t>
      </w:r>
      <w:bookmarkEnd w:id="159"/>
    </w:p>
    <w:p>
      <w:pPr>
        <w:pStyle w:val="8"/>
        <w:keepNext w:val="0"/>
        <w:keepLines w:val="0"/>
        <w:widowControl/>
        <w:suppressLineNumbers w:val="0"/>
        <w:rPr>
          <w:rFonts w:hint="eastAsia" w:ascii="宋体" w:hAnsi="宋体" w:cs="宋体"/>
          <w:sz w:val="21"/>
          <w:szCs w:val="21"/>
        </w:rPr>
      </w:pPr>
      <w:r>
        <w:rPr>
          <w:rFonts w:hint="eastAsia" w:ascii="宋体" w:hAnsi="宋体" w:eastAsia="宋体" w:cs="宋体"/>
          <w:sz w:val="21"/>
          <w:szCs w:val="21"/>
        </w:rPr>
        <w:t>本财务报表以持续经营为基础列报。</w:t>
      </w:r>
    </w:p>
    <w:p>
      <w:pPr>
        <w:keepNext/>
        <w:keepLines/>
        <w:spacing w:before="300" w:after="300" w:line="560" w:lineRule="exact"/>
        <w:jc w:val="left"/>
        <w:outlineLvl w:val="1"/>
        <w:rPr>
          <w:rFonts w:ascii="宋体" w:hAnsi="宋体" w:eastAsia="宋体" w:cs="宋体"/>
          <w:b/>
          <w:bCs/>
          <w:sz w:val="24"/>
          <w:szCs w:val="24"/>
        </w:rPr>
      </w:pPr>
      <w:bookmarkStart w:id="160" w:name="_Toc989049"/>
      <w:r>
        <w:rPr>
          <w:rFonts w:ascii="宋体" w:hAnsi="宋体" w:eastAsia="宋体" w:cs="宋体"/>
          <w:b/>
          <w:bCs/>
          <w:sz w:val="24"/>
          <w:szCs w:val="24"/>
        </w:rPr>
        <w:t>五、重要会计政策及会计估计</w:t>
      </w:r>
      <w:bookmarkEnd w:id="160"/>
    </w:p>
    <w:p>
      <w:pPr>
        <w:spacing w:before="100" w:after="100" w:line="240" w:lineRule="exact"/>
        <w:jc w:val="left"/>
        <w:rPr>
          <w:rFonts w:ascii="宋体" w:hAnsi="宋体" w:eastAsia="宋体" w:cs="宋体"/>
          <w:sz w:val="21"/>
          <w:szCs w:val="21"/>
        </w:rPr>
      </w:pPr>
      <w:r>
        <w:rPr>
          <w:rFonts w:ascii="宋体" w:hAnsi="宋体" w:eastAsia="宋体" w:cs="宋体"/>
          <w:sz w:val="21"/>
          <w:szCs w:val="21"/>
        </w:rPr>
        <w:t>具体会计政策和会计估计提示：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本公司根据自身生产经营特点，确定投资性房地产折旧、固定资产资产折旧以及收入确认政策，具体会计政策见附注之16、附注之17和附注之26。</w:t>
      </w:r>
    </w:p>
    <w:p>
      <w:pPr>
        <w:keepNext/>
        <w:keepLines/>
        <w:spacing w:before="300" w:after="300" w:line="280" w:lineRule="exact"/>
        <w:jc w:val="left"/>
        <w:outlineLvl w:val="2"/>
        <w:rPr>
          <w:rFonts w:ascii="宋体" w:hAnsi="宋体" w:eastAsia="宋体" w:cs="宋体"/>
          <w:b/>
          <w:bCs/>
          <w:sz w:val="21"/>
          <w:szCs w:val="21"/>
        </w:rPr>
      </w:pPr>
      <w:bookmarkStart w:id="161" w:name="_Toc989050"/>
      <w:r>
        <w:rPr>
          <w:rFonts w:ascii="宋体" w:hAnsi="宋体" w:eastAsia="宋体" w:cs="宋体"/>
          <w:b/>
          <w:bCs/>
          <w:sz w:val="21"/>
          <w:szCs w:val="21"/>
        </w:rPr>
        <w:t>1、遵循企业会计准则的声明</w:t>
      </w:r>
      <w:bookmarkEnd w:id="161"/>
    </w:p>
    <w:p>
      <w:pPr>
        <w:pStyle w:val="8"/>
        <w:keepNext w:val="0"/>
        <w:keepLines w:val="0"/>
        <w:widowControl/>
        <w:suppressLineNumbers w:val="0"/>
        <w:spacing w:before="0" w:beforeAutospacing="0" w:after="216"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本财务报表符合企业会计准则的要求，真实、完整地反映了本公司2023年12月31日的合并及公司财务状况以及2023年的合并及公司经营成果和合并及公司现金流量等有关信息。</w:t>
      </w:r>
    </w:p>
    <w:p>
      <w:pPr>
        <w:keepNext/>
        <w:keepLines/>
        <w:spacing w:before="300" w:after="300" w:line="280" w:lineRule="exact"/>
        <w:jc w:val="left"/>
        <w:outlineLvl w:val="2"/>
        <w:rPr>
          <w:rFonts w:ascii="宋体" w:hAnsi="宋体" w:eastAsia="宋体" w:cs="宋体"/>
          <w:b/>
          <w:bCs/>
          <w:sz w:val="21"/>
          <w:szCs w:val="21"/>
        </w:rPr>
      </w:pPr>
      <w:bookmarkStart w:id="162" w:name="_Toc989051"/>
      <w:r>
        <w:rPr>
          <w:rFonts w:ascii="宋体" w:hAnsi="宋体" w:eastAsia="宋体" w:cs="宋体"/>
          <w:b/>
          <w:bCs/>
          <w:sz w:val="21"/>
          <w:szCs w:val="21"/>
        </w:rPr>
        <w:t>2、会计期间</w:t>
      </w:r>
      <w:bookmarkEnd w:id="162"/>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本公司会计期间采用公历年度，即每年自1月1日起至12月31日止。</w:t>
      </w:r>
    </w:p>
    <w:p>
      <w:pPr>
        <w:keepNext/>
        <w:keepLines/>
        <w:spacing w:before="300" w:after="300" w:line="280" w:lineRule="exact"/>
        <w:jc w:val="left"/>
        <w:outlineLvl w:val="2"/>
        <w:rPr>
          <w:rFonts w:ascii="宋体" w:hAnsi="宋体" w:eastAsia="宋体" w:cs="宋体"/>
          <w:b/>
          <w:bCs/>
          <w:sz w:val="21"/>
          <w:szCs w:val="21"/>
        </w:rPr>
      </w:pPr>
      <w:bookmarkStart w:id="163" w:name="_Toc989052"/>
      <w:r>
        <w:rPr>
          <w:rFonts w:ascii="宋体" w:hAnsi="宋体" w:eastAsia="宋体" w:cs="宋体"/>
          <w:b/>
          <w:bCs/>
          <w:sz w:val="21"/>
          <w:szCs w:val="21"/>
        </w:rPr>
        <w:t>3、营业周期</w:t>
      </w:r>
      <w:bookmarkEnd w:id="163"/>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本公司的营业周期为12个月。</w:t>
      </w:r>
    </w:p>
    <w:p>
      <w:pPr>
        <w:keepNext/>
        <w:keepLines/>
        <w:spacing w:before="300" w:after="300" w:line="280" w:lineRule="exact"/>
        <w:jc w:val="left"/>
        <w:outlineLvl w:val="2"/>
        <w:rPr>
          <w:rFonts w:ascii="宋体" w:hAnsi="宋体" w:eastAsia="宋体" w:cs="宋体"/>
          <w:b/>
          <w:bCs/>
          <w:sz w:val="21"/>
          <w:szCs w:val="21"/>
        </w:rPr>
      </w:pPr>
      <w:bookmarkStart w:id="164" w:name="_Toc989053"/>
      <w:r>
        <w:rPr>
          <w:rFonts w:ascii="宋体" w:hAnsi="宋体" w:eastAsia="宋体" w:cs="宋体"/>
          <w:b/>
          <w:bCs/>
          <w:sz w:val="21"/>
          <w:szCs w:val="21"/>
        </w:rPr>
        <w:t>4、记账本位币</w:t>
      </w:r>
      <w:bookmarkEnd w:id="164"/>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本公司及境内子公司以人民币为记账本位币。本公司编制本财务报表时所采用的货币为人民币。</w:t>
      </w:r>
    </w:p>
    <w:p>
      <w:pPr>
        <w:keepNext/>
        <w:keepLines/>
        <w:spacing w:before="300" w:after="300" w:line="280" w:lineRule="exact"/>
        <w:jc w:val="left"/>
        <w:outlineLvl w:val="2"/>
        <w:rPr>
          <w:rFonts w:ascii="宋体" w:hAnsi="宋体" w:eastAsia="宋体" w:cs="宋体"/>
          <w:b/>
          <w:bCs/>
          <w:sz w:val="21"/>
          <w:szCs w:val="21"/>
        </w:rPr>
      </w:pPr>
      <w:bookmarkStart w:id="165" w:name="_Toc989054"/>
      <w:r>
        <w:rPr>
          <w:rFonts w:ascii="宋体" w:hAnsi="宋体" w:eastAsia="宋体" w:cs="宋体"/>
          <w:b/>
          <w:bCs/>
          <w:sz w:val="21"/>
          <w:szCs w:val="21"/>
        </w:rPr>
        <w:t>5、重要性标准确定方法和选择依据</w:t>
      </w:r>
      <w:bookmarkEnd w:id="16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75"/>
        <w:gridCol w:w="61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61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重要性标准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重要的单项计提坏账准备的应收款项</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金额≥1,000,000.00元</w:t>
            </w:r>
            <w:r>
              <w:rPr>
                <w:rFonts w:hint="eastAsia" w:ascii="宋体" w:hAnsi="宋体" w:eastAsia="宋体" w:cs="宋体"/>
                <w:snapToGrid w:val="0"/>
                <w:sz w:val="18"/>
                <w:szCs w:val="18"/>
              </w:rPr>
              <w:t>或占各类应收款项1%以上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重要的在建工程</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单个项目的</w:t>
            </w:r>
            <w:r>
              <w:rPr>
                <w:rFonts w:hint="eastAsia" w:ascii="宋体" w:hAnsi="宋体" w:eastAsia="宋体" w:cs="宋体"/>
                <w:sz w:val="18"/>
                <w:szCs w:val="18"/>
                <w:u w:val="single"/>
              </w:rPr>
              <w:t>预算</w:t>
            </w:r>
            <w:r>
              <w:rPr>
                <w:rFonts w:ascii="宋体" w:hAnsi="宋体" w:eastAsia="宋体" w:cs="宋体"/>
                <w:sz w:val="18"/>
                <w:szCs w:val="18"/>
              </w:rPr>
              <w:t>金额≥20,000,000.00元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重要的应付账款、其他应付款</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napToGrid w:val="0"/>
                <w:sz w:val="18"/>
                <w:szCs w:val="18"/>
              </w:rPr>
              <w:t>单项账龄超过1年的应付账款/其他应付款占应付账款总额1%以上，且金额≥1,000,000.00元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重要的非全资子公司</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kern w:val="0"/>
                <w:sz w:val="18"/>
                <w:szCs w:val="18"/>
              </w:rPr>
              <w:t>相关主体收入总额占合并报表收入总额10%以上或净利润绝对值占合并报表净利润的10%以上。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重要的投资活动项目</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kern w:val="0"/>
                <w:sz w:val="18"/>
                <w:szCs w:val="18"/>
              </w:rPr>
              <w:t>单项投资活动占收到或支付投资活动相关的现金流入或流出总额的10%以上或流出总额</w:t>
            </w:r>
            <w:r>
              <w:rPr>
                <w:rFonts w:hint="eastAsia" w:ascii="宋体" w:hAnsi="宋体" w:eastAsia="宋体" w:cs="宋体"/>
                <w:snapToGrid w:val="0"/>
                <w:sz w:val="18"/>
                <w:szCs w:val="18"/>
              </w:rPr>
              <w:t>≥</w:t>
            </w:r>
            <w:r>
              <w:rPr>
                <w:rFonts w:hint="eastAsia" w:ascii="宋体" w:hAnsi="宋体" w:eastAsia="宋体" w:cs="宋体"/>
                <w:sz w:val="18"/>
                <w:szCs w:val="18"/>
              </w:rPr>
              <w:t>100,000,000.00元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重要的合营或联营企业</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kern w:val="0"/>
                <w:sz w:val="18"/>
                <w:szCs w:val="18"/>
              </w:rPr>
              <w:t>对单个被投资单位的长期股权投资账面价值超过1500万或长期股权投资权益法下投资损益占公司合并净利润3%以上。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重要的资产负债表日后事项</w:t>
            </w:r>
          </w:p>
        </w:tc>
        <w:tc>
          <w:tcPr>
            <w:tcW w:w="61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公司将资产负债表日后利润分配情况认定为重要</w:t>
            </w:r>
          </w:p>
        </w:tc>
      </w:tr>
    </w:tbl>
    <w:p>
      <w:pPr>
        <w:keepNext/>
        <w:keepLines/>
        <w:spacing w:before="300" w:after="300" w:line="280" w:lineRule="exact"/>
        <w:jc w:val="left"/>
        <w:outlineLvl w:val="2"/>
        <w:rPr>
          <w:rFonts w:ascii="宋体" w:hAnsi="宋体" w:eastAsia="宋体" w:cs="宋体"/>
          <w:b/>
          <w:bCs/>
          <w:sz w:val="21"/>
          <w:szCs w:val="21"/>
        </w:rPr>
      </w:pPr>
      <w:bookmarkStart w:id="166" w:name="_Toc989055"/>
      <w:r>
        <w:rPr>
          <w:rFonts w:ascii="宋体" w:hAnsi="宋体" w:eastAsia="宋体" w:cs="宋体"/>
          <w:b/>
          <w:bCs/>
          <w:sz w:val="21"/>
          <w:szCs w:val="21"/>
        </w:rPr>
        <w:t>6、同一控制下和非同一控制下企业合并的会计处理方法</w:t>
      </w:r>
      <w:bookmarkEnd w:id="166"/>
    </w:p>
    <w:p>
      <w:pPr>
        <w:pStyle w:val="4"/>
        <w:keepNext w:val="0"/>
        <w:keepLines w:val="0"/>
        <w:widowControl/>
        <w:suppressLineNumbers w:val="0"/>
        <w:spacing w:before="120" w:beforeAutospacing="0" w:after="216" w:afterAutospacing="0"/>
        <w:ind w:left="426" w:hanging="426"/>
        <w:jc w:val="both"/>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1）同一控制下的企业合并</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同一控制下的企业合并，合并方在合并中取得的被合并方的资产、负债，按合并日被合并方在最终控制方合并财务报表中的账面价值计量。合并对价的账面价值与合并中取得的净资产账面价值的差额调整资本公积，资本公积不足冲减的，调整留存收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通过多次交易分步实现同一控制下的企业合并</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合并方在合并中取得的被合并方的资产、负债，按合并日在最终控制方合并财务报表中的账面价值计量；合并前持有投资的账面价值加上合并日新支付对价的账面价值之和，与合并中取得的净资产账面价值的差额，调整资本公积，资本公积不足冲减的，调整留存收益。合并方在取得被合并方控制权之前持有的长期股权投资，在取得原股权之日与合并方和被合并方同处于同一方最终控制之日孰晚日起至合并日之间已确认有关损益、其他综合收益和其他所有者权益变动，应分别冲减比较报表期间的期初留存收益或当期损益。</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（2）非同一控制下的企业合并</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非同一控制下的企业合并，合并成本为购买日为取得对被购买方的控制权而付出的资产、发生或承担的负债以及发行的权益性证券的公允价值。在购买日，取得的被购买方的资产、负债及或有负债按公允价值确认。</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通过多次交易分步实现非同一控制下的企业合并</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合并成本为购买日支付的对价与购买日之前已经持有的被购买方的股权在购买日的公允价值之和。对于购买日之前已经持有的被购买方的股权，按照该股权在购买日的公允价值进行重新计量，公允价值与其账面价值之间的差额计入当期投资收益；购买日之前已经持有的被购买方的股权涉及其他综合收益、其他所有者权益变动转为购买日当期收益，由于被投资方重新计量设定受益计划净负债或净资产变动而产生的其他综合收益以及原指定为以公允价值计量且其变动计入其他综合收益的非交易性权益工具投资相关的其他综合收益除外。</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（3）企业合并中有关交易费用的处理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p>
      <w:pPr>
        <w:keepNext/>
        <w:keepLines/>
        <w:spacing w:before="300" w:after="300" w:line="280" w:lineRule="exact"/>
        <w:jc w:val="left"/>
        <w:outlineLvl w:val="2"/>
        <w:rPr>
          <w:rFonts w:ascii="宋体" w:hAnsi="宋体" w:eastAsia="宋体" w:cs="宋体"/>
          <w:b/>
          <w:bCs/>
          <w:sz w:val="21"/>
          <w:szCs w:val="21"/>
        </w:rPr>
      </w:pPr>
      <w:bookmarkStart w:id="167" w:name="_Toc989056"/>
      <w:r>
        <w:rPr>
          <w:rFonts w:ascii="宋体" w:hAnsi="宋体" w:eastAsia="宋体" w:cs="宋体"/>
          <w:b/>
          <w:bCs/>
          <w:sz w:val="21"/>
          <w:szCs w:val="21"/>
        </w:rPr>
        <w:t>7、控制的判断标准和合并财务报表的编制方法</w:t>
      </w:r>
      <w:bookmarkEnd w:id="167"/>
    </w:p>
    <w:p>
      <w:pPr>
        <w:pStyle w:val="4"/>
        <w:keepNext w:val="0"/>
        <w:keepLines w:val="0"/>
        <w:widowControl/>
        <w:suppressLineNumbers w:val="0"/>
        <w:spacing w:before="120" w:beforeAutospacing="0" w:after="216" w:afterAutospacing="0"/>
        <w:ind w:left="426" w:hanging="426"/>
        <w:jc w:val="both"/>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1）控制的判断标准</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合并财务报表的合并范围以控制为基础予以确定。控制，是指本公司拥有对被投资单位的权力，通过参与被投资单位的相关活动而享有可变回报，并且有能力运用对被投资单位的权力影响其回报金额。当相关事实和情况的变化导致对控制定义所涉及的相关要素发生变化时，本公司将进行重新评估。</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在判断是否将结构化主体纳入合并范围时，本公司综合所有事实和情况，包括评估结构化主体设立目的和设计、识别可变回报的类型、通过参与其相关活动是否承担了部分或全部的回报可变性等的基础上评估是否控制该结构化主体。</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（2）合并财务报表的编制方法</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合并财务报表以本公司和子公司的财务报表为基础，根据其他有关资料，由本公司编制。在编制合并财务报表时，本公司和子公司的会计政策和会计期间要求保持一致，公司间的重大交易和往来余额予以抵销。</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在报告期内因同一控制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在报告期内因非同一控制下企业合并增加的子公司以及业务，将该子公司以及业务自购买日至报告期末的收入、费用、利润纳入合并利润表，将其现金流量纳入合并现金流量表。</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冲减少数股东权益。</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（3）购买子公司少数股东股权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购买少数股权新取得的长期股权投资成本与按照新增持股比例计算应享有子公司自购买日或合并日开始持续计算的净资产份额之间的差额，以及在不丧失控制权的情况下因部分处置对子公司的股权投资而取得的处置价款与处置长期股权投资相对应享有子公司自购买日或合并日开始持续计算的净资产份额之间的差额，均调整合并资产负债表中的资本公积，资本公积不足冲减的，调整留存收益。</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（4）丧失子公司控制权的处理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p>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与原有子公司的股权投资相关的其他综合收益在丧失控制权时采用与原有子公司直接处置相关资产或负债相同的基础进行会计处理，与原有子公司相关的涉及权益法核算下的其他所有者权益变动在丧失控制权时转入当期损益。 </w:t>
      </w:r>
    </w:p>
    <w:p>
      <w:pPr>
        <w:keepNext/>
        <w:keepLines/>
        <w:spacing w:before="300" w:after="300" w:line="280" w:lineRule="exact"/>
        <w:jc w:val="left"/>
        <w:outlineLvl w:val="2"/>
        <w:rPr>
          <w:rFonts w:ascii="宋体" w:hAnsi="宋体" w:eastAsia="宋体" w:cs="宋体"/>
          <w:b/>
          <w:bCs/>
          <w:sz w:val="21"/>
          <w:szCs w:val="21"/>
        </w:rPr>
      </w:pPr>
      <w:bookmarkStart w:id="168" w:name="_Toc989057"/>
      <w:r>
        <w:rPr>
          <w:rFonts w:ascii="宋体" w:hAnsi="宋体" w:eastAsia="宋体" w:cs="宋体"/>
          <w:b/>
          <w:bCs/>
          <w:sz w:val="21"/>
          <w:szCs w:val="21"/>
        </w:rPr>
        <w:t>8、合营安排分类及共同经营会计处理方法</w:t>
      </w:r>
      <w:bookmarkEnd w:id="168"/>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合营安排，是指一项由两个或两个以上的参与方共同控制的安排。本公司合营安排分为共同经营和合营企业。</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（1）共同经营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共同经营是指本公司享有该安排相关资产且承担该安排相关负债的合营安排。</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本公司确认与共同经营中利益份额相关的下列项目，并按照相关企业会计准则的规定进行会计处理：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A、确认单独所持有的资产，以及按其份额确认共同持有的资产；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B、确认单独所承担的负债，以及按其份额确认共同承担的负债；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C、确认出售其享有的共同经营产出份额所产生的收入；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D、按其份额确认共同经营因出售产出所产生的收入；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E、确认单独所发生的费用，以及按其份额确认共同经营发生的费用。</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（2）合营企业</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合营企业是指本公司仅对该安排的净资产享有权利的合营安排。</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本公司按照长期股权投资有关权益法核算的规定对合营企业的投资进行会计处理。</w:t>
      </w:r>
    </w:p>
    <w:p>
      <w:pPr>
        <w:keepNext/>
        <w:keepLines/>
        <w:spacing w:before="300" w:after="300" w:line="280" w:lineRule="exact"/>
        <w:jc w:val="left"/>
        <w:outlineLvl w:val="2"/>
        <w:rPr>
          <w:rFonts w:ascii="宋体" w:hAnsi="宋体" w:eastAsia="宋体" w:cs="宋体"/>
          <w:b/>
          <w:bCs/>
          <w:sz w:val="21"/>
          <w:szCs w:val="21"/>
        </w:rPr>
      </w:pPr>
      <w:bookmarkStart w:id="169" w:name="_Toc989058"/>
      <w:r>
        <w:rPr>
          <w:rFonts w:ascii="宋体" w:hAnsi="宋体" w:eastAsia="宋体" w:cs="宋体"/>
          <w:b/>
          <w:bCs/>
          <w:sz w:val="21"/>
          <w:szCs w:val="21"/>
        </w:rPr>
        <w:t>9、现金及现金等价物的确定标准</w:t>
      </w:r>
      <w:bookmarkEnd w:id="169"/>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现金是指库存现金以及可以随时用于支付的存款。现金等价物，是指本公司持有的期限短、流动性强、易于转换为已知金额现金、价值变动风险很小的投资。</w:t>
      </w:r>
    </w:p>
    <w:p>
      <w:pPr>
        <w:keepNext/>
        <w:keepLines/>
        <w:spacing w:before="300" w:after="300" w:line="280" w:lineRule="exact"/>
        <w:jc w:val="left"/>
        <w:outlineLvl w:val="2"/>
        <w:rPr>
          <w:rFonts w:ascii="宋体" w:hAnsi="宋体" w:eastAsia="宋体" w:cs="宋体"/>
          <w:b/>
          <w:bCs/>
          <w:sz w:val="21"/>
          <w:szCs w:val="21"/>
        </w:rPr>
      </w:pPr>
      <w:bookmarkStart w:id="170" w:name="_Toc989059"/>
      <w:r>
        <w:rPr>
          <w:rFonts w:ascii="宋体" w:hAnsi="宋体" w:eastAsia="宋体" w:cs="宋体"/>
          <w:b/>
          <w:bCs/>
          <w:sz w:val="21"/>
          <w:szCs w:val="21"/>
        </w:rPr>
        <w:t>10、外币业务和外币报表折算</w:t>
      </w:r>
      <w:bookmarkEnd w:id="170"/>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本公司发生外币业务，按交易发生日的即期汇率折算为记账本位币金额。</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根据非货币性项目的性质计入当期损益或其他综合收益。</w:t>
      </w:r>
    </w:p>
    <w:p>
      <w:pPr>
        <w:keepNext/>
        <w:keepLines/>
        <w:spacing w:before="300" w:after="300" w:line="280" w:lineRule="exact"/>
        <w:jc w:val="left"/>
        <w:outlineLvl w:val="2"/>
        <w:rPr>
          <w:rFonts w:ascii="宋体" w:hAnsi="宋体" w:eastAsia="宋体" w:cs="宋体"/>
          <w:b/>
          <w:bCs/>
          <w:sz w:val="21"/>
          <w:szCs w:val="21"/>
        </w:rPr>
      </w:pPr>
      <w:bookmarkStart w:id="171" w:name="_Toc989060"/>
      <w:r>
        <w:rPr>
          <w:rFonts w:ascii="宋体" w:hAnsi="宋体" w:eastAsia="宋体" w:cs="宋体"/>
          <w:b/>
          <w:bCs/>
          <w:sz w:val="21"/>
          <w:szCs w:val="21"/>
        </w:rPr>
        <w:t>11、金融工具</w:t>
      </w:r>
      <w:bookmarkEnd w:id="171"/>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金融工具是指形成一方的金融资产，并形成其他方的金融负债或权益工具的合同。</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（1）金融工具的确认和终止确认</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本公司于成为金融工具合同的一方时确认一项金融资产或金融负债。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金融资产满足下列条件之一的，终止确认：</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①收取该金融资产现金流量的合同权利终止；</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②该金融资产已转移，且符合下述金融资产转移的终止确认条件。</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以常规方式买卖金融资产，按交易日进行会计确认和终止确认。</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（2）金融资产分类和计量</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在初始确认时根据管理金融资产的业务模式和金融资产的合同现金流量特征，将金融资产分为以下三类：以摊余成本计量的金融资产、以公允价值计量且其变动计入其他综合收益的金融资产、以公允价值计量且其变动计入当期损益的金融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款项，本公司按照预期有权收取的对价金额作为初始确认金额。</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 xml:space="preserve">以摊余成本计量的金融资产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本公司将同时符合下列条件且未被指定为以公允价值计量且其变动计入当期损益的金融资产，分类为以摊余成本计量的金融资产： </w:t>
      </w:r>
    </w:p>
    <w:p>
      <w:pPr>
        <w:keepNext w:val="0"/>
        <w:keepLines w:val="0"/>
        <w:widowControl/>
        <w:numPr>
          <w:ilvl w:val="-1"/>
          <w:numId w:val="0"/>
        </w:numPr>
        <w:suppressLineNumbers w:val="0"/>
        <w:spacing w:before="0" w:beforeAutospacing="1" w:after="0" w:afterAutospacing="1"/>
        <w:ind w:left="360" w:firstLine="0"/>
        <w:rPr>
          <w:rFonts w:hint="eastAsia" w:ascii="宋体" w:hAnsi="宋体" w:cs="宋体"/>
          <w:szCs w:val="21"/>
        </w:rPr>
      </w:pPr>
      <w:r>
        <w:rPr>
          <w:rFonts w:hint="eastAsia" w:ascii="宋体" w:hAnsi="宋体" w:eastAsia="宋体" w:cs="宋体"/>
          <w:sz w:val="21"/>
          <w:szCs w:val="21"/>
        </w:rPr>
        <w:t xml:space="preserve">本公司管理该金融资产的业务模式是以收取合同现金流量为目标； </w:t>
      </w:r>
    </w:p>
    <w:p>
      <w:pPr>
        <w:keepNext w:val="0"/>
        <w:keepLines w:val="0"/>
        <w:widowControl/>
        <w:numPr>
          <w:ilvl w:val="-1"/>
          <w:numId w:val="0"/>
        </w:numPr>
        <w:suppressLineNumbers w:val="0"/>
        <w:spacing w:before="0" w:beforeAutospacing="1" w:after="0" w:afterAutospacing="1"/>
        <w:ind w:left="360" w:firstLine="0"/>
        <w:rPr>
          <w:rFonts w:hint="eastAsia" w:ascii="宋体" w:hAnsi="宋体" w:cs="宋体"/>
          <w:szCs w:val="21"/>
        </w:rPr>
      </w:pPr>
      <w:r>
        <w:rPr>
          <w:rFonts w:hint="eastAsia" w:ascii="宋体" w:hAnsi="宋体" w:eastAsia="宋体" w:cs="宋体"/>
          <w:sz w:val="21"/>
          <w:szCs w:val="21"/>
        </w:rPr>
        <w:t xml:space="preserve">该金融资产的合同条款规定，在特定日期产生的现金流量，仅为对本金和以未偿付本金金额为基础的利息的支付。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初始确认后，对于该类金融资产采用实际利率法以摊余成本计量。以摊余成本计量且不属于任何套期关系的一部分的金融资产所产生的利得或损失，在终止确认、按照实际利率法摊销或确认减值时，计入当期损益。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以公允价值计量且其变动计入其他综合收益的金融资产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本公司将同时符合下列条件且未被指定为以公允价值计量且其变动计入当期损益的金融资产，分类为以公允价值计量且其变动计入其他综合收益的金融资产： </w:t>
      </w:r>
    </w:p>
    <w:p>
      <w:pPr>
        <w:keepNext w:val="0"/>
        <w:keepLines w:val="0"/>
        <w:widowControl/>
        <w:numPr>
          <w:ilvl w:val="0"/>
          <w:numId w:val="2"/>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本公司管理该金融资产的业务模式既以收取合同现金流量为目标又以出售该金融资产为目标； </w:t>
      </w:r>
    </w:p>
    <w:p>
      <w:pPr>
        <w:keepNext w:val="0"/>
        <w:keepLines w:val="0"/>
        <w:widowControl/>
        <w:numPr>
          <w:ilvl w:val="0"/>
          <w:numId w:val="2"/>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该金融资产的合同条款规定，在特定日期产生的现金流量，仅为对本金和以未偿付本金金额为基础的利息的支付。</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初始确认后，对于该类金融资产以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 xml:space="preserve">以公允价值计量且其变动计入当期损益的金融资产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除上述以摊余成本计量和以公允价值计量且其变动计入其他综合收益的金融资产外，本公司将其余所有的金融资产分类为以公允价值计量且其变动计入当期损益的金融资产。在初始确认时，为消除或显著减少会计错配，本公司将部分本应以摊余成本计量或以公允价值计量且其变动计入其他综合收益的金融资产不可撤销地指定为以公允价值计量且其变动计入当期损益的金融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初始确认后，对于该类金融资产以公允价值进行后续计量，产生的利得或损失（包括利息和股利收入）计入当期损益，除非该金融资产属于套期关系的一部分。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但是，对于非交易性权益工具投资，本公司在初始确认时将其不可撤销地指定为以公允价值计量且其变动计入其他综合收益的金融资产。该指定在单项投资的基础上作出，且相关投资从发行方的角度符合权益工具的定义。</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初始确认后，对于该类金融资产以公允价值进行后续计量。满足条件的股利收入计入损益，其他利得或损失及公允价值变动计入其他综合收益。终止确认时，将之前计入其他综合收益的累计利得或损失从其他综合收益中转出，计入留存收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管理金融资产的业务模式，是指本公司如何管理金融资产以产生现金流量。业务模式决定本公司所管理金融资产现金流量的来源是收取合同现金流量、出售金融资产还是两者兼有。本公司以客观事实为依据、以关键管理人员决定的对金融资产进行管理的特定业务目标为基础，确定管理金融资产的业务模式。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对金融资产的合同现金流量特征进行评估，以确定相关金融资产在特定日期产生的合同现金流量是否仅为对本金和以未偿付本金金额为基础的利息的支付。其中，本金是指金融资产在初始确认时的公允价值；利息包括对货币时间价值、与特定时期未偿付本金金额相关的信用风险、以及其他基本借贷风险、成本和利润的对价。此外，本公司对可能导致金融资产合同现金流量的时间分布或金额发生变更的合同条款进行评估，以确定其是否满足上述合同现金流量特征的要求。</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仅在本公司改变管理金融资产的业务模式时，所有受影响的相关金融资产在业务模式发生变更后的首个报告期间的第一天进行重分类，否则金融资产在初始确认后不得进行重分类。 </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（3）金融负债分类和计量</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的金融负债于初始确认时分类为：以公允价值计量且其变动计入当期损益的金融负债、以摊余成本计量的金融负债。对于未划分为以公允价值计量且其变动计入当期损益的金融负债的，相关交易费用计入其初始确认金额。</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以公允价值计量且其变动计入当期损益的金融负债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以摊余成本计量的金融负债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其他金融负债采用实际利率法，按摊余成本进行后续计量，终止确认或摊销产生的利得或损失计入当期损益。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金融负债与权益工具的区分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金融负债，是指符合下列条件之一的负债：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①向其他方交付现金或其他金融资产的合同义务。</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②在潜在不利条件下，与其他方交换金融资产或金融负债的合同义务。</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③将来须用或可用企业自身权益工具进行结算的非衍生工具合同，且企业根据该合同将交付可变数量的自身权益工具。</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④将来须用或可用企业自身权益工具进行结算的衍生工具合同，但以固定数量的自身权益工具交换固定金额的现金或其他金融资产的衍生工具合同除外。</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权益工具，是指能证明拥有某个企业在扣除所有负债后的资产中剩余权益的合同。</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如果本公司不能无条件地避免以交付现金或其他金融资产来履行一项合同义务，则该合同义务符合金融负债的定义。</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本公司的金融负债；如果是后者，该工具是本公司的权益工具。</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（4）衍生金融工具及嵌入衍生工具</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衍生金融工具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（5）金融工具的公允价值</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金融资产和金融负债的公允价值确定方法见公允价值的披露。</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bookmarkStart w:id="172" w:name="_Ref79778187"/>
      <w:bookmarkEnd w:id="172"/>
      <w:r>
        <w:rPr>
          <w:rFonts w:hint="eastAsia" w:ascii="宋体" w:hAnsi="宋体" w:eastAsia="宋体" w:cs="宋体"/>
          <w:sz w:val="21"/>
          <w:szCs w:val="21"/>
        </w:rPr>
        <w:t>（6）金融资产减值</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本公司以预期信用损失为基础，对下列项目进行减值会计处理并确认损失准备： </w:t>
      </w:r>
    </w:p>
    <w:p>
      <w:pPr>
        <w:keepNext w:val="0"/>
        <w:keepLines w:val="0"/>
        <w:widowControl/>
        <w:numPr>
          <w:ilvl w:val="0"/>
          <w:numId w:val="3"/>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以摊余成本计量的金融资产； </w:t>
      </w:r>
    </w:p>
    <w:p>
      <w:pPr>
        <w:keepNext w:val="0"/>
        <w:keepLines w:val="0"/>
        <w:widowControl/>
        <w:numPr>
          <w:ilvl w:val="0"/>
          <w:numId w:val="3"/>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以公允价值计量且其变动计入其他综合收益的应收款项和债务工具投资；</w:t>
      </w:r>
    </w:p>
    <w:p>
      <w:pPr>
        <w:keepNext w:val="0"/>
        <w:keepLines w:val="0"/>
        <w:widowControl/>
        <w:numPr>
          <w:ilvl w:val="0"/>
          <w:numId w:val="3"/>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《企业会计准则第14号——收入》定义的合同资产；</w:t>
      </w:r>
    </w:p>
    <w:p>
      <w:pPr>
        <w:keepNext w:val="0"/>
        <w:keepLines w:val="0"/>
        <w:widowControl/>
        <w:numPr>
          <w:ilvl w:val="0"/>
          <w:numId w:val="3"/>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租赁应收款；</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sz w:val="21"/>
          <w:szCs w:val="21"/>
        </w:rPr>
        <w:t xml:space="preserve">财务担保合同（以公允价值计量且其变动计入当期损益、金融资产转移不符合终止确认条件或继续涉入被转移金融资产所形成的除外）。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预期信用损失的计量</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对于处于不同阶段的金融工具的预期信用损失分别进行计量。金融工具自初始确认后信用风险未显著增加的，处于第一阶段，本公司按照未来12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对于在资产负债表日具有较低信用风险的金融工具，本公司假设其信用风险自初始确认后并未显著增加，按照未来12个月内的预期信用损失计量损失准备。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整个存续期预期信用损失，是指因金融工具整个预计存续期内所有可能发生的违约事件而导致的预期信用损失。未来12个月内预期信用损失，是指因资产负债表日后12个月内（若金融工具的预计存续期少于12个月，则为预计存续期）可能发生的金融工具违约事件而导致的预期信用损失，是整个存续期预期信用损失的一部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在计量预期信用损失时，本公司需考虑的最长期限为企业面临信用风险的最长合同期限（包括考虑续约选择权）。</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对于应收票据、应收账款、其他应收款等应收款项，若某一客户信用风险特征与组合中其他客户显著不同，或该客户信用风险特征发生显著变化，本公司对该应收款项单项计提坏账准备。除单项计提坏账准备的应收款项之外，本公司依据信用风险特征对应收款项划分组合，在组合基础上计算坏账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应收票据、应收账款</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对于应收票据、应收账款，无论是否存在重大融资成分，本公司始终按照相当于整个存续期内预期信用损失的金额计量其损失准备。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当单项金融资产无法以合理成本评估预期信用损失的信息时，本公司依据信用风险特征对应收票据和应收账款划分组合，在组合基础上计算预期信用损失，确定组合的依据如下：</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A、应收票据</w:t>
      </w:r>
    </w:p>
    <w:p>
      <w:pPr>
        <w:keepNext w:val="0"/>
        <w:keepLines w:val="0"/>
        <w:widowControl/>
        <w:numPr>
          <w:ilvl w:val="0"/>
          <w:numId w:val="4"/>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应收票据组合1：银行承兑汇票</w:t>
      </w:r>
    </w:p>
    <w:p>
      <w:pPr>
        <w:keepNext w:val="0"/>
        <w:keepLines w:val="0"/>
        <w:widowControl/>
        <w:numPr>
          <w:ilvl w:val="0"/>
          <w:numId w:val="4"/>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应收票据组合2：商业承兑汇票</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B、应收账款</w:t>
      </w:r>
    </w:p>
    <w:p>
      <w:pPr>
        <w:keepNext w:val="0"/>
        <w:keepLines w:val="0"/>
        <w:widowControl/>
        <w:numPr>
          <w:ilvl w:val="0"/>
          <w:numId w:val="5"/>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应收账款组合1：</w:t>
      </w:r>
      <w:r>
        <w:rPr>
          <w:rFonts w:hint="eastAsia" w:ascii="宋体" w:hAnsi="宋体" w:cs="宋体"/>
          <w:sz w:val="21"/>
          <w:szCs w:val="21"/>
          <w:lang w:val="en-US" w:eastAsia="zh-CN"/>
        </w:rPr>
        <w:t>租赁及其他组合</w:t>
      </w:r>
    </w:p>
    <w:p>
      <w:pPr>
        <w:keepNext w:val="0"/>
        <w:keepLines w:val="0"/>
        <w:widowControl/>
        <w:numPr>
          <w:ilvl w:val="0"/>
          <w:numId w:val="5"/>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应收账款组合2：珠宝销售业务组合</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对于划分为组合的应收票据，本公司参考历史信用损失经验，结合当前状况以及对未来经济状况的预测，通过违约风险敞口和整个存续期预期信用损失率，计算预期信用损失。</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划分为组合的应收账款，本公司参考历史信用损失经验，结合当前状况以及对未来经济状况的预测，编制应收账款账龄与整个存续期预期信用损失率对照表，计算预期信用损失。应收账款的账龄自确认之日起计算。</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其他应收款</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本公司依据信用风险特征将其他应收款划分为若干组合，在组合基础上计算预期信用损失，确定组合的依据如下：</w:t>
      </w:r>
    </w:p>
    <w:p>
      <w:pPr>
        <w:keepNext w:val="0"/>
        <w:keepLines w:val="0"/>
        <w:widowControl/>
        <w:numPr>
          <w:ilvl w:val="0"/>
          <w:numId w:val="6"/>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其他应收款组合1：账龄组合</w:t>
      </w:r>
    </w:p>
    <w:p>
      <w:pPr>
        <w:keepNext w:val="0"/>
        <w:keepLines w:val="0"/>
        <w:widowControl/>
        <w:numPr>
          <w:ilvl w:val="0"/>
          <w:numId w:val="6"/>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其他应收款组合</w:t>
      </w:r>
      <w:r>
        <w:rPr>
          <w:rFonts w:hint="eastAsia" w:ascii="宋体" w:hAnsi="宋体" w:cs="宋体"/>
          <w:sz w:val="21"/>
          <w:szCs w:val="21"/>
          <w:lang w:val="en-US" w:eastAsia="zh-CN"/>
        </w:rPr>
        <w:t>2</w:t>
      </w:r>
      <w:r>
        <w:rPr>
          <w:rFonts w:hint="eastAsia" w:ascii="宋体" w:hAnsi="宋体" w:eastAsia="宋体" w:cs="宋体"/>
          <w:sz w:val="21"/>
          <w:szCs w:val="21"/>
        </w:rPr>
        <w:t>：应收押金和保证金组合</w:t>
      </w:r>
    </w:p>
    <w:p>
      <w:pPr>
        <w:keepNext w:val="0"/>
        <w:keepLines w:val="0"/>
        <w:widowControl/>
        <w:numPr>
          <w:ilvl w:val="0"/>
          <w:numId w:val="6"/>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其他应收款组合3：应收合并范围内关联往来组合</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对划分为组合的其他应收款，本公司通过违约风险敞口和未来12个月内或整个存续期预期信用损失率，计算预期信用损失。对于按账龄划分组合的其他应收款，账龄自确认之日起计算。</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长期应收款</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本公司的长期应收款包括应收关联往来款等款项。</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本公司依据信用风险特征将应收关联往来款划分为若干组合，在组合基础上计算预期信用损失，确定组合的依据如下：</w:t>
      </w:r>
    </w:p>
    <w:p>
      <w:pPr>
        <w:keepNext w:val="0"/>
        <w:keepLines w:val="0"/>
        <w:widowControl/>
        <w:numPr>
          <w:ilvl w:val="0"/>
          <w:numId w:val="7"/>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其他长期应收款组合1：应收其他款项</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对于应收关联往来款，本公司参考历史信用损失经验，结合当前状况以及对未来经济状况的预测，通过违约风险敞口和整个存续期预期信用损失率，计算预期信用损失。</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除应收关联往来款提供劳务款之外的划分为组合的其他应收款和长期应收款，通过违约风险敞口和未来12个月内或整个存续期预期信用损失率，计算预期信用损失。</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债权投资、其他债权投资</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对于债权投资和其他债权投资，本公司按照投资的性质，根据交易对手和风险敞口的各种类型，通过违约风险敞口和未来12个月内或整个存续期预期信用损失率，计算预期信用损失。</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信用风险显著增加的评估</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本公司通过比较金融工具在资产负债表日发生违约的风险与在初始确认日发生违约的风险，以确定金融工具预计存续期内发生违约风险的相对变化，以评估金融工具的信用风险自初始确认后是否已显著增加。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在确定信用风险自初始确认后是否显著增加时，本公司考虑无须付出不必要的额外成本或努力即可获得的合理且有依据的信息，包括前瞻性信息。本公司考虑的信息包括： </w:t>
      </w:r>
    </w:p>
    <w:p>
      <w:pPr>
        <w:keepNext w:val="0"/>
        <w:keepLines w:val="0"/>
        <w:widowControl/>
        <w:numPr>
          <w:ilvl w:val="0"/>
          <w:numId w:val="8"/>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债务人未能按合同到期日支付本金和利息的情况； </w:t>
      </w:r>
    </w:p>
    <w:p>
      <w:pPr>
        <w:keepNext w:val="0"/>
        <w:keepLines w:val="0"/>
        <w:widowControl/>
        <w:numPr>
          <w:ilvl w:val="0"/>
          <w:numId w:val="8"/>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已发生的或预期的金融工具的外部或内部信用评级（如有）的严重恶化； </w:t>
      </w:r>
    </w:p>
    <w:p>
      <w:pPr>
        <w:keepNext w:val="0"/>
        <w:keepLines w:val="0"/>
        <w:widowControl/>
        <w:numPr>
          <w:ilvl w:val="0"/>
          <w:numId w:val="8"/>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已发生的或预期的债务人经营成果的严重恶化； </w:t>
      </w:r>
    </w:p>
    <w:p>
      <w:pPr>
        <w:keepNext w:val="0"/>
        <w:keepLines w:val="0"/>
        <w:widowControl/>
        <w:numPr>
          <w:ilvl w:val="0"/>
          <w:numId w:val="8"/>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现存的或预期的技术、市场、经济或法律环境变化，并将对债务人对本公司的还款能力产生重大不利影响。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如果逾期超过30日，本公司确定金融工具的信用风险已经显著增加。</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本公司认为金融资产在下列情况发生违约：</w:t>
      </w:r>
    </w:p>
    <w:p>
      <w:pPr>
        <w:keepNext w:val="0"/>
        <w:keepLines w:val="0"/>
        <w:widowControl/>
        <w:numPr>
          <w:ilvl w:val="0"/>
          <w:numId w:val="9"/>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借款人不大可能全额支付其对本公司的欠款，该评估不考虑本公司采取例如变现抵押品（如果持有）等追索行动；</w:t>
      </w:r>
    </w:p>
    <w:p>
      <w:pPr>
        <w:keepNext w:val="0"/>
        <w:keepLines w:val="0"/>
        <w:widowControl/>
        <w:numPr>
          <w:ilvl w:val="0"/>
          <w:numId w:val="9"/>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金融资产逾期超过90天。</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已发生信用减值的金融资产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pPr>
        <w:keepNext w:val="0"/>
        <w:keepLines w:val="0"/>
        <w:widowControl/>
        <w:numPr>
          <w:ilvl w:val="0"/>
          <w:numId w:val="10"/>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发行方或债务人发生重大财务困难； </w:t>
      </w:r>
    </w:p>
    <w:p>
      <w:pPr>
        <w:keepNext w:val="0"/>
        <w:keepLines w:val="0"/>
        <w:widowControl/>
        <w:numPr>
          <w:ilvl w:val="0"/>
          <w:numId w:val="10"/>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债务人违反合同，如偿付利息或本金违约或逾期等； </w:t>
      </w:r>
    </w:p>
    <w:p>
      <w:pPr>
        <w:keepNext w:val="0"/>
        <w:keepLines w:val="0"/>
        <w:widowControl/>
        <w:numPr>
          <w:ilvl w:val="0"/>
          <w:numId w:val="10"/>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本公司出于与债务人财务困难有关的经济或合同考虑，给予债务人在任何其他情况下都不会做出的让步； </w:t>
      </w:r>
    </w:p>
    <w:p>
      <w:pPr>
        <w:keepNext w:val="0"/>
        <w:keepLines w:val="0"/>
        <w:widowControl/>
        <w:numPr>
          <w:ilvl w:val="0"/>
          <w:numId w:val="10"/>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债务人很可能破产或进行其他财务重组； </w:t>
      </w:r>
    </w:p>
    <w:p>
      <w:pPr>
        <w:keepNext w:val="0"/>
        <w:keepLines w:val="0"/>
        <w:widowControl/>
        <w:numPr>
          <w:ilvl w:val="0"/>
          <w:numId w:val="10"/>
        </w:numPr>
        <w:suppressLineNumbers w:val="0"/>
        <w:spacing w:before="0" w:beforeAutospacing="1" w:after="0" w:afterAutospacing="1"/>
        <w:ind w:left="720" w:hanging="360"/>
        <w:rPr>
          <w:rFonts w:hint="eastAsia" w:ascii="宋体" w:hAnsi="宋体" w:cs="宋体"/>
          <w:szCs w:val="21"/>
        </w:rPr>
      </w:pPr>
      <w:r>
        <w:rPr>
          <w:rFonts w:hint="eastAsia" w:ascii="宋体" w:hAnsi="宋体" w:eastAsia="宋体" w:cs="宋体"/>
          <w:sz w:val="21"/>
          <w:szCs w:val="21"/>
        </w:rPr>
        <w:t xml:space="preserve">发行方或债务人财务困难导致该金融资产的活跃市场消失。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预期信用损失准备的列报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核销</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但是，按照本公司收回到期款项的程序，被减记的金融资产仍可能受到执行活动的影响。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已减记的金融资产以后又收回的，作为减值损失的转回计入收回当期的损益。 </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（7）金融资产转移</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金融资产转移，是指将金融资产让与或交付给该金融资产发行方以外的另一方（转入方）。</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本公司已将金融资产所有权上几乎所有的风险和报酬转移给转入方的，终止确认该金融资产；保留了金融资产所有权上几乎所有的风险和报酬的，不终止确认该金融资产。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pPr>
        <w:pStyle w:val="4"/>
        <w:keepNext w:val="0"/>
        <w:keepLines w:val="0"/>
        <w:widowControl/>
        <w:suppressLineNumbers w:val="0"/>
        <w:spacing w:before="120" w:beforeAutospacing="0" w:after="216" w:afterAutospacing="0"/>
        <w:ind w:left="426" w:hanging="426"/>
        <w:jc w:val="both"/>
        <w:rPr>
          <w:rFonts w:hint="eastAsia" w:ascii="宋体" w:hAnsi="宋体" w:eastAsia="宋体" w:cs="宋体"/>
          <w:sz w:val="21"/>
          <w:szCs w:val="21"/>
        </w:rPr>
      </w:pPr>
      <w:r>
        <w:rPr>
          <w:rFonts w:hint="eastAsia" w:ascii="宋体" w:hAnsi="宋体" w:eastAsia="宋体" w:cs="宋体"/>
          <w:sz w:val="21"/>
          <w:szCs w:val="21"/>
        </w:rPr>
        <w:t>（8）金融资产和金融负债的抵销</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当本公司具有抵销已确认金融资产和金融负债的法定权利，且目前可执行该种法定权利，同时本公司计划以净额结算或同时变现该金融资产和清偿该金融负债时，金融资产和金融负债以相互抵销后的金额在资产负债表内列示。除此以外，金融资产和金融负债在资产负债表内分别列示，不予相互抵销。</w:t>
      </w:r>
    </w:p>
    <w:p>
      <w:pPr>
        <w:pStyle w:val="8"/>
        <w:widowControl/>
        <w:spacing w:before="0" w:beforeAutospacing="0" w:after="216" w:afterAutospacing="0" w:line="240" w:lineRule="exact"/>
        <w:jc w:val="both"/>
        <w:rPr>
          <w:rFonts w:ascii="宋体" w:hAnsi="宋体" w:eastAsia="宋体" w:cs="宋体"/>
          <w:sz w:val="18"/>
          <w:szCs w:val="18"/>
        </w:rPr>
      </w:pPr>
      <w:r>
        <w:rPr>
          <w:rFonts w:hint="default" w:ascii="Times New Roman" w:hAnsi="Times New Roman" w:eastAsia="宋体" w:cs="Times New Roman"/>
          <w:sz w:val="21"/>
          <w:szCs w:val="21"/>
        </w:rPr>
        <w:t>   </w:t>
      </w:r>
      <w:r>
        <w:rPr>
          <w:rFonts w:ascii="宋体" w:hAnsi="宋体" w:eastAsia="宋体" w:cs="宋体"/>
          <w:sz w:val="18"/>
          <w:szCs w:val="18"/>
        </w:rPr>
        <w:t>公司需遵守《深圳证券交易所上市公司自律监管指引第3号——行业信息披露》中珠宝相关业的披露要求</w:t>
      </w:r>
    </w:p>
    <w:p>
      <w:pPr>
        <w:keepNext/>
        <w:keepLines/>
        <w:spacing w:before="300" w:after="300" w:line="280" w:lineRule="exact"/>
        <w:jc w:val="left"/>
        <w:outlineLvl w:val="2"/>
        <w:rPr>
          <w:rFonts w:ascii="宋体" w:hAnsi="宋体" w:eastAsia="宋体" w:cs="宋体"/>
          <w:b/>
          <w:bCs/>
          <w:sz w:val="21"/>
          <w:szCs w:val="21"/>
        </w:rPr>
      </w:pPr>
      <w:bookmarkStart w:id="173" w:name="_Toc989061"/>
      <w:r>
        <w:rPr>
          <w:rFonts w:ascii="宋体" w:hAnsi="宋体" w:eastAsia="宋体" w:cs="宋体"/>
          <w:b/>
          <w:bCs/>
          <w:sz w:val="21"/>
          <w:szCs w:val="21"/>
        </w:rPr>
        <w:t>12、存货</w:t>
      </w:r>
      <w:bookmarkEnd w:id="17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公司需遵守《深圳证券交易所上市公司自律监管指引第3号——行业信息披露》中珠宝相关业的披露要求</w:t>
      </w:r>
    </w:p>
    <w:p>
      <w:pPr>
        <w:pStyle w:val="4"/>
        <w:keepNext w:val="0"/>
        <w:keepLines w:val="0"/>
        <w:widowControl/>
        <w:suppressLineNumbers w:val="0"/>
        <w:spacing w:before="120" w:beforeAutospacing="0" w:after="216" w:afterAutospacing="0"/>
        <w:jc w:val="both"/>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1）存货的分类</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本公司存货分为原材料、库存商品、被套期项目、委托加工物资和委托代销商品等。</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（2）发出存货的计价方法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 xml:space="preserve">本公司存货取得时按实际成本计价。原材料、库存商品等发出时采用先进先出法、个别计价法计价。 </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（3）存货跌价准备的确定依据和计提方法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资产负债表日，存货按照成本与可变现净值孰低计量。当其可变现净值低于成本时，计提存货跌价准备。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本公司通常按照单个存货项目计提存货跌价准备。对于数量繁多、单价较低的存货，按照存货类别计提存货跌价准备。</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资产负债表日，以前减记存货价值的影响因素已经消失的，存货跌价准备在原已计提的金额内转回。</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（4）存货的盘存制度</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本公司存货盘存制度采用永续盘存制。</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（5）低值易耗品的摊销方法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本公司低值易耗品领用时采用一次转销法摊销。</w:t>
      </w:r>
    </w:p>
    <w:p>
      <w:pPr>
        <w:keepNext/>
        <w:keepLines/>
        <w:spacing w:before="300" w:after="300" w:line="280" w:lineRule="exact"/>
        <w:jc w:val="left"/>
        <w:outlineLvl w:val="2"/>
        <w:rPr>
          <w:rFonts w:ascii="宋体" w:hAnsi="宋体" w:eastAsia="宋体" w:cs="宋体"/>
          <w:b/>
          <w:bCs/>
          <w:sz w:val="21"/>
          <w:szCs w:val="21"/>
        </w:rPr>
      </w:pPr>
      <w:bookmarkStart w:id="174" w:name="_Toc989062"/>
      <w:r>
        <w:rPr>
          <w:rFonts w:ascii="宋体" w:hAnsi="宋体" w:eastAsia="宋体" w:cs="宋体"/>
          <w:b/>
          <w:bCs/>
          <w:sz w:val="21"/>
          <w:szCs w:val="21"/>
        </w:rPr>
        <w:t>13、长期股权投资</w:t>
      </w:r>
      <w:bookmarkEnd w:id="174"/>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长期股权投资包括对子公司、合营企业和联营企业的权益性投资。本公司能够对被投资单位施加重大影响的，为本公司的联营企业。</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（1）初始投资成本确定</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形成企业合并的长期股权投资：同一控制下企业合并取得的长期股权投资，在合并日按照取得被合并方所有者权益在最终控制方合并财务报表中的账面价值份额作为投资成本；非同一控制下企业合并取得的长期股权投资，按照合并成本作为长期股权投资的投资成本。</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对于其他方式取得的长期股权投资：支付现金取得的长期股权投资，按照实际支付的购买价款作为初始投资成本；发行权益性证券取得的长期股权投资，以发行权益性证券的公允价值作为初始投资成本。</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（2）后续计量及损益确认方法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对子公司的投资，采用成本法核算，除非投资符合持有待售的条件；对联营企业和合营企业的投资，采用权益法核算。</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采用成本法核算的长期股权投资，除取得投资时实际支付的价款或对价中包含的已宣告但尚未发放的现金股利或利润外，被投资单位宣告分派的现金股利或利润，确认为投资收益计入当期损益。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资本公积（其他资本公积）。在确认应享有被投资单位净损益的份额时，以取得投资时被投资单位各项可辨认资产等的公允价值为基础，并按照本公司的会计政策及会计期间，对被投资单位的净利润进行调整后确认。</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追加投资等原因能够对被投资单位施加重大影响或实施共同控制但不构成控制的，在转换日，按照原股权的公允价值加上新增投资成本之和，作为改按权益法核算的初始投资成本。原股权分类为以公允价值计量且其变动计入其他综合收益的非交易性权益工具投资的，与其相关的原计入其他综合收益的累计公允价值变动在改按权益法核算时转入留存收益。 </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处置部分股权投资等原因丧失了对被投资单位的共同控制或重大影响的，处置后的剩余股权在丧失共同控制或重大影响之日改按《企业会计准则第22号——金融工具确认和计量》进行会计处理，公允价值与账面价值之间的差额计入当期损益。原股权投资因采用权益法核算而确认的其他综合收益，在终止采用权益法核算时采用与被投资单位直接处置相关资产或负债相同的基础进行会计处理；原股权投资相关的其他所有者权益变动转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之间的差额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与联营企业及合营企业之间发生的未实现内部交易损益按照持股比例计算归属于本公司的部分，在抵销基础上确认投资损益。但本公司与被投资单位发生的未实现内部交易损失，属于所转让资产减值损失的，不予以抵销。</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（3）确定对被投资单位具有共同控制、重大影响的依据</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共同控制，是指按照相关约定对某项安排所共有的控制，并且该安排的相关活动必须经过分享控制权的参与方一致同意后才能决策。在判断是否存在共同控制时，首先判断是否由所有参与方或参与方组合集体控制该安排，其次再判断该安排相关活动的决策是否必须经过这些集体控制该安排的参与方一致同意。如果所有参与方或一组参与方必须一致行动才能决定某项安排的相关活动，则认为所有参与方或一组参与方集体控制该安排；如果存在两个或两个以上的参与方组合能够集体控制某项安排的，不构成共同控制。判断是否存在共同控制时，不考虑享有的保护性权利。</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当本公司直接或通过子公司间接拥有被投资单位20%（含20%）以上但低于50%的表决权股份时，一般认为对被投资单位具有重大影响，除非有明确证据表明该种情况下不能参与被投资单位的生产经营决策，不形成重大影响；本公司拥有被投资单位20%（不含）以下的表决权股份时，一般不认为对被投资单位具有重大影响，除非有明确证据表明该种情况下能够参与被投资单位的生产经营决策，形成重大影响。</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（4）减值测试方法及减值准备计提方法</w:t>
      </w:r>
    </w:p>
    <w:p>
      <w:pPr>
        <w:pStyle w:val="8"/>
        <w:keepNext w:val="0"/>
        <w:keepLines w:val="0"/>
        <w:widowControl/>
        <w:suppressLineNumbers w:val="0"/>
        <w:spacing w:before="0" w:beforeAutospacing="0" w:after="216"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对子公司、联营企业及合营企业的投资，计提资产减值的方法见附注五、19。</w:t>
      </w:r>
    </w:p>
    <w:p>
      <w:pPr>
        <w:keepNext/>
        <w:keepLines/>
        <w:spacing w:before="300" w:after="300" w:line="280" w:lineRule="exact"/>
        <w:jc w:val="left"/>
        <w:outlineLvl w:val="2"/>
        <w:rPr>
          <w:rFonts w:ascii="宋体" w:hAnsi="宋体" w:eastAsia="宋体" w:cs="宋体"/>
          <w:b/>
          <w:bCs/>
          <w:sz w:val="21"/>
          <w:szCs w:val="21"/>
        </w:rPr>
      </w:pPr>
      <w:bookmarkStart w:id="175" w:name="_Toc989063"/>
      <w:r>
        <w:rPr>
          <w:rFonts w:ascii="宋体" w:hAnsi="宋体" w:eastAsia="宋体" w:cs="宋体"/>
          <w:b/>
          <w:bCs/>
          <w:sz w:val="21"/>
          <w:szCs w:val="21"/>
        </w:rPr>
        <w:t>14、投资性房地产</w:t>
      </w:r>
      <w:bookmarkEnd w:id="175"/>
    </w:p>
    <w:p>
      <w:pPr>
        <w:spacing w:before="100" w:after="100" w:line="240" w:lineRule="exact"/>
        <w:jc w:val="left"/>
        <w:rPr>
          <w:rFonts w:ascii="宋体" w:hAnsi="宋体" w:eastAsia="宋体" w:cs="宋体"/>
          <w:sz w:val="21"/>
          <w:szCs w:val="21"/>
        </w:rPr>
      </w:pPr>
      <w:r>
        <w:rPr>
          <w:rFonts w:ascii="宋体" w:hAnsi="宋体" w:eastAsia="宋体" w:cs="宋体"/>
          <w:sz w:val="21"/>
          <w:szCs w:val="21"/>
        </w:rPr>
        <w:t>投资性房地产计量模式</w:t>
      </w:r>
    </w:p>
    <w:p>
      <w:pPr>
        <w:spacing w:before="100" w:after="100" w:line="240" w:lineRule="exact"/>
        <w:jc w:val="left"/>
        <w:rPr>
          <w:rFonts w:ascii="宋体" w:hAnsi="宋体" w:eastAsia="宋体" w:cs="宋体"/>
          <w:sz w:val="21"/>
          <w:szCs w:val="21"/>
        </w:rPr>
      </w:pPr>
      <w:r>
        <w:rPr>
          <w:rFonts w:ascii="宋体" w:hAnsi="宋体" w:eastAsia="宋体" w:cs="宋体"/>
          <w:sz w:val="21"/>
          <w:szCs w:val="21"/>
        </w:rPr>
        <w:t>成本法计量</w:t>
      </w:r>
    </w:p>
    <w:p>
      <w:pPr>
        <w:spacing w:before="100" w:after="100" w:line="240" w:lineRule="exact"/>
        <w:jc w:val="left"/>
        <w:rPr>
          <w:rFonts w:ascii="宋体" w:hAnsi="宋体" w:eastAsia="宋体" w:cs="宋体"/>
          <w:sz w:val="21"/>
          <w:szCs w:val="21"/>
        </w:rPr>
      </w:pPr>
      <w:r>
        <w:rPr>
          <w:rFonts w:ascii="宋体" w:hAnsi="宋体" w:eastAsia="宋体" w:cs="宋体"/>
          <w:sz w:val="21"/>
          <w:szCs w:val="21"/>
        </w:rPr>
        <w:t>折旧或摊销方法</w:t>
      </w:r>
    </w:p>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投资性房地产是指为赚取租金或资本增值，或两者兼有而持有的房地产。本公司投资性房地产包括已出租的土地使用权、持有并准备增值后转让的土地使用权、已出租的建筑物。</w:t>
      </w:r>
    </w:p>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本公司投资性房地产按照取得时的成本进行初始计量，并按照固定资产或无形资产的有关规定，按期计提折旧或摊销。</w:t>
      </w:r>
    </w:p>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采用成本模式进行后续计量的投资性房地产，计提资产减值方法见附注五、19。</w:t>
      </w:r>
    </w:p>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投资性房地产出售、转让、报废或毁损的处置收入扣除其账面价值和相关税费后的差额计入当期损益。</w:t>
      </w:r>
    </w:p>
    <w:p>
      <w:pPr>
        <w:keepNext/>
        <w:keepLines/>
        <w:spacing w:before="300" w:after="300" w:line="280" w:lineRule="exact"/>
        <w:jc w:val="left"/>
        <w:outlineLvl w:val="2"/>
        <w:rPr>
          <w:rFonts w:ascii="宋体" w:hAnsi="宋体" w:eastAsia="宋体" w:cs="宋体"/>
          <w:b/>
          <w:bCs/>
          <w:sz w:val="21"/>
          <w:szCs w:val="21"/>
        </w:rPr>
      </w:pPr>
      <w:bookmarkStart w:id="176" w:name="_Toc989064"/>
      <w:r>
        <w:rPr>
          <w:rFonts w:ascii="宋体" w:hAnsi="宋体" w:eastAsia="宋体" w:cs="宋体"/>
          <w:b/>
          <w:bCs/>
          <w:sz w:val="21"/>
          <w:szCs w:val="21"/>
        </w:rPr>
        <w:t>15、固定资产</w:t>
      </w:r>
      <w:bookmarkEnd w:id="176"/>
    </w:p>
    <w:p>
      <w:pPr>
        <w:keepNext/>
        <w:keepLines/>
        <w:spacing w:before="300" w:after="300" w:line="280" w:lineRule="exact"/>
        <w:jc w:val="left"/>
        <w:outlineLvl w:val="3"/>
        <w:rPr>
          <w:rFonts w:ascii="宋体" w:hAnsi="宋体" w:eastAsia="宋体" w:cs="宋体"/>
          <w:b/>
          <w:bCs/>
          <w:sz w:val="21"/>
          <w:szCs w:val="21"/>
        </w:rPr>
      </w:pPr>
      <w:bookmarkStart w:id="177" w:name="_Toc989065"/>
      <w:r>
        <w:rPr>
          <w:rFonts w:ascii="宋体" w:hAnsi="宋体" w:eastAsia="宋体" w:cs="宋体"/>
          <w:b/>
          <w:bCs/>
          <w:sz w:val="21"/>
          <w:szCs w:val="21"/>
        </w:rPr>
        <w:t>（1） 确认条件</w:t>
      </w:r>
      <w:bookmarkEnd w:id="177"/>
    </w:p>
    <w:p>
      <w:pPr>
        <w:pStyle w:val="8"/>
        <w:keepNext w:val="0"/>
        <w:keepLines w:val="0"/>
        <w:pageBreakBefore w:val="0"/>
        <w:widowControl/>
        <w:suppressLineNumbers w:val="0"/>
        <w:kinsoku/>
        <w:wordWrap/>
        <w:overflowPunct/>
        <w:topLinePunct w:val="0"/>
        <w:autoSpaceDE/>
        <w:autoSpaceDN/>
        <w:bidi w:val="0"/>
        <w:adjustRightInd/>
        <w:snapToGrid/>
        <w:spacing w:line="340" w:lineRule="atLeast"/>
        <w:ind w:left="0" w:firstLine="357"/>
        <w:textAlignment w:val="auto"/>
        <w:rPr>
          <w:rFonts w:hint="eastAsia" w:ascii="宋体" w:hAnsi="宋体" w:eastAsia="宋体" w:cs="宋体"/>
          <w:sz w:val="21"/>
          <w:szCs w:val="21"/>
        </w:rPr>
      </w:pPr>
      <w:r>
        <w:rPr>
          <w:rFonts w:hint="eastAsia" w:ascii="宋体" w:hAnsi="宋体" w:eastAsia="宋体" w:cs="宋体"/>
          <w:sz w:val="21"/>
          <w:szCs w:val="21"/>
        </w:rPr>
        <w:t>本公司固定资产是指为生产商品、提供劳务、出租或经营管理而持有的，使用寿命超过一个会计年度的有形资产。</w:t>
      </w:r>
    </w:p>
    <w:p>
      <w:pPr>
        <w:pStyle w:val="8"/>
        <w:keepNext w:val="0"/>
        <w:keepLines w:val="0"/>
        <w:pageBreakBefore w:val="0"/>
        <w:widowControl w:val="0"/>
        <w:suppressLineNumbers w:val="0"/>
        <w:kinsoku/>
        <w:wordWrap/>
        <w:overflowPunct/>
        <w:topLinePunct w:val="0"/>
        <w:autoSpaceDE/>
        <w:autoSpaceDN/>
        <w:bidi w:val="0"/>
        <w:adjustRightInd/>
        <w:snapToGrid/>
        <w:spacing w:line="340" w:lineRule="atLeast"/>
        <w:ind w:left="0" w:firstLine="357"/>
        <w:textAlignment w:val="auto"/>
        <w:rPr>
          <w:rFonts w:hint="eastAsia" w:ascii="宋体" w:hAnsi="宋体" w:eastAsia="宋体" w:cs="宋体"/>
          <w:sz w:val="21"/>
          <w:szCs w:val="21"/>
        </w:rPr>
      </w:pPr>
      <w:r>
        <w:rPr>
          <w:rFonts w:hint="eastAsia" w:ascii="宋体" w:hAnsi="宋体" w:eastAsia="宋体" w:cs="宋体"/>
          <w:sz w:val="21"/>
          <w:szCs w:val="21"/>
        </w:rPr>
        <w:t>与该固定资产有关的经济利益很可能流入企业，并且该固定资产的成本能够可靠地计量时，固定资产才能予以确认。</w:t>
      </w:r>
    </w:p>
    <w:p>
      <w:pPr>
        <w:pStyle w:val="8"/>
        <w:keepNext w:val="0"/>
        <w:keepLines w:val="0"/>
        <w:pageBreakBefore w:val="0"/>
        <w:widowControl w:val="0"/>
        <w:suppressLineNumbers w:val="0"/>
        <w:kinsoku/>
        <w:wordWrap/>
        <w:overflowPunct/>
        <w:topLinePunct w:val="0"/>
        <w:autoSpaceDE/>
        <w:autoSpaceDN/>
        <w:bidi w:val="0"/>
        <w:adjustRightInd/>
        <w:snapToGrid/>
        <w:spacing w:line="340" w:lineRule="exact"/>
        <w:ind w:left="0" w:firstLine="357"/>
        <w:textAlignment w:val="auto"/>
        <w:rPr>
          <w:rFonts w:hint="eastAsia" w:ascii="宋体" w:hAnsi="宋体" w:eastAsia="宋体" w:cs="宋体"/>
          <w:sz w:val="21"/>
          <w:szCs w:val="21"/>
        </w:rPr>
      </w:pPr>
      <w:r>
        <w:rPr>
          <w:rFonts w:hint="eastAsia" w:ascii="宋体" w:hAnsi="宋体" w:eastAsia="宋体" w:cs="宋体"/>
          <w:sz w:val="21"/>
          <w:szCs w:val="21"/>
        </w:rPr>
        <w:t>本公司固定资产按照取得时的实际成本进行初始计量。</w:t>
      </w:r>
    </w:p>
    <w:p>
      <w:pPr>
        <w:pStyle w:val="8"/>
        <w:keepNext w:val="0"/>
        <w:keepLines w:val="0"/>
        <w:pageBreakBefore w:val="0"/>
        <w:widowControl/>
        <w:suppressLineNumbers w:val="0"/>
        <w:kinsoku/>
        <w:wordWrap/>
        <w:overflowPunct/>
        <w:topLinePunct w:val="0"/>
        <w:autoSpaceDE/>
        <w:autoSpaceDN/>
        <w:bidi w:val="0"/>
        <w:adjustRightInd/>
        <w:snapToGrid/>
        <w:spacing w:line="340" w:lineRule="exact"/>
        <w:ind w:left="0" w:firstLine="357"/>
        <w:textAlignment w:val="auto"/>
        <w:rPr>
          <w:rFonts w:hint="eastAsia" w:ascii="宋体" w:hAnsi="宋体" w:eastAsia="宋体" w:cs="宋体"/>
          <w:sz w:val="21"/>
          <w:szCs w:val="21"/>
        </w:rPr>
      </w:pPr>
      <w:r>
        <w:rPr>
          <w:rFonts w:hint="eastAsia" w:ascii="宋体" w:hAnsi="宋体" w:eastAsia="宋体" w:cs="宋体"/>
          <w:sz w:val="21"/>
          <w:szCs w:val="21"/>
        </w:rPr>
        <w:t>与固定资产有关的后续支出，在与其有关的经济利益很可能流入本公司且其成本能够可靠计量时，计入固定资产成本；不符合固定资产资本化后续支出条件的固定资产日常修理费用，在发生时按照受益对象计入当期损益或计入相关资产的成本。对于被替换的部分，终止确认其账面价值。</w:t>
      </w:r>
    </w:p>
    <w:p>
      <w:pPr>
        <w:keepNext/>
        <w:keepLines/>
        <w:spacing w:before="300" w:after="300" w:line="280" w:lineRule="exact"/>
        <w:jc w:val="left"/>
        <w:outlineLvl w:val="3"/>
        <w:rPr>
          <w:rFonts w:ascii="宋体" w:hAnsi="宋体" w:eastAsia="宋体" w:cs="宋体"/>
          <w:b/>
          <w:bCs/>
          <w:sz w:val="21"/>
          <w:szCs w:val="21"/>
        </w:rPr>
      </w:pPr>
      <w:bookmarkStart w:id="178" w:name="_Toc989066"/>
      <w:r>
        <w:rPr>
          <w:rFonts w:ascii="宋体" w:hAnsi="宋体" w:eastAsia="宋体" w:cs="宋体"/>
          <w:b/>
          <w:bCs/>
          <w:sz w:val="21"/>
          <w:szCs w:val="21"/>
        </w:rPr>
        <w:t>（2） 折旧方法</w:t>
      </w:r>
      <w:bookmarkEnd w:id="178"/>
    </w:p>
    <w:p>
      <w:pPr>
        <w:spacing w:before="0" w:after="0" w:line="0" w:lineRule="exact"/>
        <w:jc w:val="left"/>
      </w:pP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98"/>
        <w:gridCol w:w="1955"/>
        <w:gridCol w:w="1774"/>
        <w:gridCol w:w="1785"/>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1"/>
                <w:szCs w:val="21"/>
              </w:rPr>
            </w:pPr>
            <w:r>
              <w:rPr>
                <w:rFonts w:ascii="宋体" w:hAnsi="宋体" w:eastAsia="宋体" w:cs="宋体"/>
                <w:sz w:val="21"/>
                <w:szCs w:val="21"/>
              </w:rPr>
              <w:t>类别</w:t>
            </w:r>
          </w:p>
        </w:tc>
        <w:tc>
          <w:tcPr>
            <w:tcW w:w="195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1"/>
                <w:szCs w:val="21"/>
              </w:rPr>
            </w:pPr>
            <w:r>
              <w:rPr>
                <w:rFonts w:ascii="宋体" w:hAnsi="宋体" w:eastAsia="宋体" w:cs="宋体"/>
                <w:sz w:val="21"/>
                <w:szCs w:val="21"/>
              </w:rPr>
              <w:t>折旧方法</w:t>
            </w:r>
          </w:p>
        </w:tc>
        <w:tc>
          <w:tcPr>
            <w:tcW w:w="17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1"/>
                <w:szCs w:val="21"/>
              </w:rPr>
            </w:pPr>
            <w:r>
              <w:rPr>
                <w:rFonts w:ascii="宋体" w:hAnsi="宋体" w:eastAsia="宋体" w:cs="宋体"/>
                <w:sz w:val="21"/>
                <w:szCs w:val="21"/>
              </w:rPr>
              <w:t>折旧年限</w:t>
            </w:r>
          </w:p>
        </w:tc>
        <w:tc>
          <w:tcPr>
            <w:tcW w:w="17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1"/>
                <w:szCs w:val="21"/>
              </w:rPr>
            </w:pPr>
            <w:r>
              <w:rPr>
                <w:rFonts w:ascii="宋体" w:hAnsi="宋体" w:eastAsia="宋体" w:cs="宋体"/>
                <w:sz w:val="21"/>
                <w:szCs w:val="21"/>
              </w:rPr>
              <w:t>残值率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1"/>
                <w:szCs w:val="21"/>
              </w:rPr>
            </w:pPr>
            <w:r>
              <w:rPr>
                <w:rFonts w:ascii="宋体" w:hAnsi="宋体" w:eastAsia="宋体" w:cs="宋体"/>
                <w:sz w:val="21"/>
                <w:szCs w:val="21"/>
              </w:rPr>
              <w:t>年折旧率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房屋及建筑物</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10、35-40</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10、2.43-2.77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其中：自有房屋装修</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10</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机器设备</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12</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8.08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电子设备</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5-7</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13.86-19.4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运输设备</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7</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办公及其他设备</w:t>
            </w:r>
          </w:p>
        </w:tc>
        <w:tc>
          <w:tcPr>
            <w:tcW w:w="19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年限平均法</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7</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1"/>
                <w:szCs w:val="21"/>
              </w:rPr>
            </w:pPr>
            <w:r>
              <w:rPr>
                <w:rFonts w:ascii="宋体" w:hAnsi="宋体" w:eastAsia="宋体" w:cs="宋体"/>
                <w:sz w:val="21"/>
                <w:szCs w:val="21"/>
              </w:rPr>
              <w:t>13.86</w:t>
            </w:r>
          </w:p>
        </w:tc>
      </w:tr>
    </w:tbl>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其中，已计提减值准备的固定资产，还应扣除已计提的固定资产减值准备累计金额计算确定折旧率。</w:t>
      </w:r>
    </w:p>
    <w:p>
      <w:pPr>
        <w:keepNext/>
        <w:keepLines/>
        <w:spacing w:before="300" w:after="300" w:line="280" w:lineRule="exact"/>
        <w:jc w:val="left"/>
        <w:outlineLvl w:val="2"/>
        <w:rPr>
          <w:rFonts w:ascii="宋体" w:hAnsi="宋体" w:eastAsia="宋体" w:cs="宋体"/>
          <w:b/>
          <w:bCs/>
          <w:sz w:val="21"/>
          <w:szCs w:val="21"/>
        </w:rPr>
      </w:pPr>
      <w:bookmarkStart w:id="179" w:name="_Toc989067"/>
      <w:r>
        <w:rPr>
          <w:rFonts w:ascii="宋体" w:hAnsi="宋体" w:eastAsia="宋体" w:cs="宋体"/>
          <w:b/>
          <w:bCs/>
          <w:sz w:val="21"/>
          <w:szCs w:val="21"/>
        </w:rPr>
        <w:t>16、在建工程</w:t>
      </w:r>
      <w:bookmarkEnd w:id="179"/>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本公司在建工程成本按实际工程支出确定，包括在建期间发生的各项必要工程支出、工程达到预定可使用状态前的应予资本化的借款费用以及其他相关费用等。</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在建工程在达到预定可使用状态时转入固定资产。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在建工程计提资产减值方法见附注五、19。</w:t>
      </w:r>
    </w:p>
    <w:p>
      <w:pPr>
        <w:keepNext/>
        <w:keepLines/>
        <w:spacing w:before="300" w:after="300" w:line="280" w:lineRule="exact"/>
        <w:jc w:val="left"/>
        <w:outlineLvl w:val="2"/>
        <w:rPr>
          <w:rFonts w:ascii="宋体" w:hAnsi="宋体" w:eastAsia="宋体" w:cs="宋体"/>
          <w:b/>
          <w:bCs/>
          <w:sz w:val="21"/>
          <w:szCs w:val="21"/>
        </w:rPr>
      </w:pPr>
      <w:bookmarkStart w:id="180" w:name="_Toc989068"/>
      <w:r>
        <w:rPr>
          <w:rFonts w:ascii="宋体" w:hAnsi="宋体" w:eastAsia="宋体" w:cs="宋体"/>
          <w:b/>
          <w:bCs/>
          <w:sz w:val="21"/>
          <w:szCs w:val="21"/>
        </w:rPr>
        <w:t>17、借款费用</w:t>
      </w:r>
      <w:bookmarkEnd w:id="180"/>
    </w:p>
    <w:p>
      <w:pPr>
        <w:pStyle w:val="4"/>
        <w:keepNext w:val="0"/>
        <w:keepLines w:val="0"/>
        <w:widowControl/>
        <w:suppressLineNumbers w:val="0"/>
        <w:spacing w:before="120" w:beforeAutospacing="0" w:after="216" w:afterAutospacing="0"/>
        <w:jc w:val="both"/>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1）借款费用资本化的确认原则</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① 资产支出已经发生，资产支出包括为购建或者生产符合资本化条件的资产而以支付现金、转移非现金资产或者承担带息债务形式发生的支出；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② 借款费用已经发生；</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③ 为使资产达到预定可使用或者可销售状态所必要的购建或者生产活动已经开始。</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（2）借款费用资本化期间</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符合资本化条件的资产在购建或者生产过程中发生非正常中断、且中断时间连续超过3个月的，暂停借款费用的资本化；正常中断期间的借款费用继续资本化。</w:t>
      </w:r>
    </w:p>
    <w:p>
      <w:pPr>
        <w:pStyle w:val="4"/>
        <w:keepNext w:val="0"/>
        <w:keepLines w:val="0"/>
        <w:widowControl/>
        <w:suppressLineNumbers w:val="0"/>
        <w:spacing w:before="120" w:beforeAutospacing="0" w:after="216" w:afterAutospacing="0"/>
        <w:jc w:val="both"/>
        <w:rPr>
          <w:rFonts w:hint="eastAsia" w:ascii="宋体" w:hAnsi="宋体" w:eastAsia="宋体" w:cs="宋体"/>
          <w:sz w:val="21"/>
          <w:szCs w:val="21"/>
        </w:rPr>
      </w:pPr>
      <w:r>
        <w:rPr>
          <w:rFonts w:hint="eastAsia" w:ascii="宋体" w:hAnsi="宋体" w:eastAsia="宋体" w:cs="宋体"/>
          <w:sz w:val="21"/>
          <w:szCs w:val="21"/>
        </w:rPr>
        <w:t>（3）借款费用资本化率以及资本化金额的计算方法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资本化期间内，外币专门借款的汇兑差额全部予以资本化；外币一般借款的汇兑差额计入当期损益。</w:t>
      </w:r>
    </w:p>
    <w:p>
      <w:pPr>
        <w:keepNext/>
        <w:keepLines/>
        <w:spacing w:before="300" w:after="300" w:line="280" w:lineRule="exact"/>
        <w:jc w:val="left"/>
        <w:outlineLvl w:val="2"/>
        <w:rPr>
          <w:rFonts w:hint="eastAsia" w:ascii="宋体" w:hAnsi="宋体" w:eastAsia="宋体" w:cs="宋体"/>
          <w:b/>
          <w:bCs/>
          <w:sz w:val="21"/>
          <w:szCs w:val="21"/>
        </w:rPr>
      </w:pPr>
      <w:bookmarkStart w:id="181" w:name="_Toc989069"/>
      <w:r>
        <w:rPr>
          <w:rFonts w:hint="eastAsia" w:ascii="宋体" w:hAnsi="宋体" w:eastAsia="宋体" w:cs="宋体"/>
          <w:b/>
          <w:bCs/>
          <w:sz w:val="21"/>
          <w:szCs w:val="21"/>
        </w:rPr>
        <w:t>18、无形资产</w:t>
      </w:r>
      <w:bookmarkEnd w:id="181"/>
    </w:p>
    <w:p>
      <w:pPr>
        <w:keepNext/>
        <w:keepLines/>
        <w:spacing w:before="300" w:after="300" w:line="280" w:lineRule="exact"/>
        <w:jc w:val="left"/>
        <w:outlineLvl w:val="3"/>
        <w:rPr>
          <w:rFonts w:hint="eastAsia" w:ascii="宋体" w:hAnsi="宋体" w:eastAsia="宋体" w:cs="宋体"/>
          <w:b/>
          <w:bCs/>
          <w:sz w:val="21"/>
          <w:szCs w:val="21"/>
        </w:rPr>
      </w:pPr>
      <w:bookmarkStart w:id="182" w:name="_Toc989070"/>
      <w:r>
        <w:rPr>
          <w:rFonts w:hint="eastAsia" w:ascii="宋体" w:hAnsi="宋体" w:eastAsia="宋体" w:cs="宋体"/>
          <w:b/>
          <w:bCs/>
          <w:sz w:val="21"/>
          <w:szCs w:val="21"/>
        </w:rPr>
        <w:t>（1） 使用寿命及其确定依据、估计情况、摊销方法或复核程序</w:t>
      </w:r>
      <w:bookmarkEnd w:id="182"/>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本公司无形资产包括土地使用权、计算机软件、商标等。</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使用寿命有限的无形资产摊销方法如下：</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87"/>
        <w:gridCol w:w="1387"/>
        <w:gridCol w:w="5084"/>
        <w:gridCol w:w="1232"/>
        <w:gridCol w:w="7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cantSplit/>
          <w:trHeight w:val="340" w:hRule="atLeast"/>
          <w:jc w:val="center"/>
        </w:trPr>
        <w:tc>
          <w:tcPr>
            <w:tcW w:w="70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center"/>
              <w:rPr>
                <w:rFonts w:hint="eastAsia" w:ascii="宋体" w:hAnsi="宋体" w:cs="宋体"/>
                <w:sz w:val="21"/>
                <w:szCs w:val="21"/>
              </w:rPr>
            </w:pPr>
            <w:r>
              <w:rPr>
                <w:rStyle w:val="11"/>
                <w:rFonts w:hint="eastAsia" w:ascii="宋体" w:hAnsi="宋体" w:eastAsia="宋体" w:cs="宋体"/>
                <w:sz w:val="21"/>
                <w:szCs w:val="21"/>
              </w:rPr>
              <w:t>类别</w:t>
            </w:r>
          </w:p>
        </w:tc>
        <w:tc>
          <w:tcPr>
            <w:tcW w:w="704"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right"/>
              <w:rPr>
                <w:rFonts w:hint="eastAsia" w:ascii="宋体" w:hAnsi="宋体" w:cs="宋体"/>
                <w:sz w:val="21"/>
                <w:szCs w:val="21"/>
              </w:rPr>
            </w:pPr>
            <w:r>
              <w:rPr>
                <w:rStyle w:val="11"/>
                <w:rFonts w:hint="eastAsia" w:ascii="宋体" w:hAnsi="宋体" w:eastAsia="宋体" w:cs="宋体"/>
                <w:sz w:val="21"/>
                <w:szCs w:val="21"/>
              </w:rPr>
              <w:t>使用寿命</w:t>
            </w:r>
          </w:p>
        </w:tc>
        <w:tc>
          <w:tcPr>
            <w:tcW w:w="258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center"/>
              <w:rPr>
                <w:rFonts w:hint="eastAsia" w:ascii="宋体" w:hAnsi="宋体" w:cs="宋体"/>
                <w:sz w:val="21"/>
                <w:szCs w:val="21"/>
              </w:rPr>
            </w:pPr>
            <w:r>
              <w:rPr>
                <w:rStyle w:val="11"/>
                <w:rFonts w:hint="eastAsia" w:ascii="宋体" w:hAnsi="宋体" w:eastAsia="宋体" w:cs="宋体"/>
                <w:sz w:val="21"/>
                <w:szCs w:val="21"/>
              </w:rPr>
              <w:t>使用寿命的确定依据</w:t>
            </w:r>
          </w:p>
        </w:tc>
        <w:tc>
          <w:tcPr>
            <w:tcW w:w="625"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right"/>
              <w:rPr>
                <w:rFonts w:hint="eastAsia" w:ascii="宋体" w:hAnsi="宋体" w:cs="宋体"/>
                <w:sz w:val="21"/>
                <w:szCs w:val="21"/>
              </w:rPr>
            </w:pPr>
            <w:r>
              <w:rPr>
                <w:rStyle w:val="11"/>
                <w:rFonts w:hint="eastAsia" w:ascii="宋体" w:hAnsi="宋体" w:eastAsia="宋体" w:cs="宋体"/>
                <w:sz w:val="21"/>
                <w:szCs w:val="21"/>
              </w:rPr>
              <w:t>摊销方法</w:t>
            </w:r>
          </w:p>
        </w:tc>
        <w:tc>
          <w:tcPr>
            <w:tcW w:w="387"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right"/>
              <w:rPr>
                <w:rFonts w:hint="eastAsia" w:ascii="宋体" w:hAnsi="宋体" w:cs="宋体"/>
                <w:sz w:val="21"/>
                <w:szCs w:val="21"/>
              </w:rPr>
            </w:pPr>
            <w:r>
              <w:rPr>
                <w:rStyle w:val="11"/>
                <w:rFonts w:hint="eastAsia" w:ascii="宋体" w:hAnsi="宋体" w:eastAsia="宋体" w:cs="宋体"/>
                <w:sz w:val="21"/>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704"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土地使用权</w:t>
            </w:r>
          </w:p>
        </w:tc>
        <w:tc>
          <w:tcPr>
            <w:tcW w:w="70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50年</w:t>
            </w:r>
          </w:p>
        </w:tc>
        <w:tc>
          <w:tcPr>
            <w:tcW w:w="25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法定使用权</w:t>
            </w:r>
          </w:p>
        </w:tc>
        <w:tc>
          <w:tcPr>
            <w:tcW w:w="62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直线法</w:t>
            </w:r>
          </w:p>
        </w:tc>
        <w:tc>
          <w:tcPr>
            <w:tcW w:w="38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704"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计算机软件</w:t>
            </w:r>
          </w:p>
        </w:tc>
        <w:tc>
          <w:tcPr>
            <w:tcW w:w="70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5年</w:t>
            </w:r>
          </w:p>
        </w:tc>
        <w:tc>
          <w:tcPr>
            <w:tcW w:w="25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参考能为公司带来经济利益的期限确定使用寿命</w:t>
            </w:r>
          </w:p>
        </w:tc>
        <w:tc>
          <w:tcPr>
            <w:tcW w:w="62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直线法</w:t>
            </w:r>
          </w:p>
        </w:tc>
        <w:tc>
          <w:tcPr>
            <w:tcW w:w="38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704"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商标</w:t>
            </w:r>
          </w:p>
        </w:tc>
        <w:tc>
          <w:tcPr>
            <w:tcW w:w="70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10年</w:t>
            </w:r>
          </w:p>
        </w:tc>
        <w:tc>
          <w:tcPr>
            <w:tcW w:w="25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参考能为公司带来经济利益的期限确定使用寿命</w:t>
            </w:r>
          </w:p>
        </w:tc>
        <w:tc>
          <w:tcPr>
            <w:tcW w:w="62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直线法</w:t>
            </w:r>
          </w:p>
        </w:tc>
        <w:tc>
          <w:tcPr>
            <w:tcW w:w="38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bl>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本公司于每年年度终了，对使用寿命有限的无形资产的使用寿命及摊销方法进行复核，与以前估计不同的，调整原先估计数，并按会计估计变更处理。</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资产负债表日预计某项无形资产已经不能给企业带来未来经济利益的，将该项无形资产的账面价值全部转入当期损益。</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无形资产计提资产减值方法见附注五、19。</w:t>
      </w:r>
    </w:p>
    <w:p>
      <w:pPr>
        <w:keepNext/>
        <w:keepLines/>
        <w:spacing w:before="300" w:after="300" w:line="280" w:lineRule="exact"/>
        <w:jc w:val="left"/>
        <w:outlineLvl w:val="3"/>
        <w:rPr>
          <w:rFonts w:hint="eastAsia" w:ascii="宋体" w:hAnsi="宋体" w:eastAsia="宋体" w:cs="宋体"/>
          <w:b/>
          <w:bCs/>
          <w:sz w:val="21"/>
          <w:szCs w:val="21"/>
        </w:rPr>
      </w:pPr>
      <w:bookmarkStart w:id="183" w:name="_Toc989071"/>
      <w:r>
        <w:rPr>
          <w:rFonts w:hint="eastAsia" w:ascii="宋体" w:hAnsi="宋体" w:eastAsia="宋体" w:cs="宋体"/>
          <w:b/>
          <w:bCs/>
          <w:sz w:val="21"/>
          <w:szCs w:val="21"/>
        </w:rPr>
        <w:t>（2） 研发支出的归集范围及相关会计处理方法</w:t>
      </w:r>
      <w:bookmarkEnd w:id="183"/>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本公司研发支出为公司研发活动直接相关的</w:t>
      </w:r>
      <w:r>
        <w:rPr>
          <w:rFonts w:hint="eastAsia" w:ascii="宋体" w:hAnsi="宋体" w:eastAsia="宋体" w:cs="宋体"/>
          <w:sz w:val="21"/>
          <w:szCs w:val="21"/>
        </w:rPr>
        <w:t>支出，包括研发人员职工薪酬、直接投入费用、折旧费用与长期待摊费用、设计费用、装备调试费、无形资产摊销费用、委托外部研究开发费用、其他费用等。其中研发人员的工资按照项目工时分摊计入研发支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本公司将内部研究开发项目的支出，区分为研究阶段支出和开发阶段支出。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研究阶段的支出，于发生时计入当期损益。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本公司研究开发项目在满足上述条件，通过技术可行性及经济可行性研究，形成项目立项后，进入开发阶段。</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已资本化的开发阶段的支出在资产负债表上列示为开发支出，自该项目达到预定用途之日转为无形资产。</w:t>
      </w:r>
    </w:p>
    <w:p>
      <w:pPr>
        <w:keepNext/>
        <w:keepLines/>
        <w:spacing w:before="300" w:after="300" w:line="280" w:lineRule="exact"/>
        <w:jc w:val="left"/>
        <w:outlineLvl w:val="2"/>
        <w:rPr>
          <w:rFonts w:hint="eastAsia" w:ascii="宋体" w:hAnsi="宋体" w:eastAsia="宋体" w:cs="宋体"/>
          <w:b/>
          <w:bCs/>
          <w:sz w:val="21"/>
          <w:szCs w:val="21"/>
        </w:rPr>
      </w:pPr>
      <w:bookmarkStart w:id="184" w:name="_Toc989072"/>
      <w:r>
        <w:rPr>
          <w:rFonts w:hint="eastAsia" w:ascii="宋体" w:hAnsi="宋体" w:eastAsia="宋体" w:cs="宋体"/>
          <w:b/>
          <w:bCs/>
          <w:sz w:val="21"/>
          <w:szCs w:val="21"/>
        </w:rPr>
        <w:t>19、长期资产减值</w:t>
      </w:r>
      <w:bookmarkEnd w:id="184"/>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子公司、联营企业和合营企业的长期股权投资、采用成本模式进行后续计量的投资性房地产、固定资产、在建工程、使用权资产、无形资产等（存货、按公允价值模式计量的投资性房地产、递延所得税资产、金融资产除外）的资产减值，按以下方法确定：</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于资产负债表日判断资产是否存在可能发生减值的迹象，存在减值迹象的，本公司将估计其可收回金额，进行减值测试。对因企业合并所形成的商誉、使用寿命不确定的无形资产和尚未达到可使用状态的无形资产无论是否存在减值迹象，每年都进行减值测试。</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当资产或资产组的可收回金额低于其账面价值时，本公司将其账面价值减记至可收回金额，减记的金额计入当期损益，同时计提相应的资产减值准备。</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资产减值损失一经确认，在以后会计期间不再转回。</w:t>
      </w:r>
    </w:p>
    <w:p>
      <w:pPr>
        <w:keepNext/>
        <w:keepLines/>
        <w:spacing w:before="300" w:after="300" w:line="280" w:lineRule="exact"/>
        <w:jc w:val="left"/>
        <w:outlineLvl w:val="2"/>
        <w:rPr>
          <w:rFonts w:hint="eastAsia" w:ascii="宋体" w:hAnsi="宋体" w:eastAsia="宋体" w:cs="宋体"/>
          <w:b/>
          <w:bCs/>
          <w:sz w:val="21"/>
          <w:szCs w:val="21"/>
        </w:rPr>
      </w:pPr>
      <w:bookmarkStart w:id="185" w:name="_Toc989073"/>
      <w:r>
        <w:rPr>
          <w:rFonts w:hint="eastAsia" w:ascii="宋体" w:hAnsi="宋体" w:eastAsia="宋体" w:cs="宋体"/>
          <w:b/>
          <w:bCs/>
          <w:sz w:val="21"/>
          <w:szCs w:val="21"/>
        </w:rPr>
        <w:t>20、长期待摊费用</w:t>
      </w:r>
      <w:bookmarkEnd w:id="185"/>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本公司发生的长期待摊费用按实际成本计价，并按预计受益期限平均摊销。对不能使以后会计期间受益的长期待摊费用项目，其摊余价值全部计入当期损益。</w:t>
      </w:r>
    </w:p>
    <w:p>
      <w:pPr>
        <w:keepNext/>
        <w:keepLines/>
        <w:spacing w:before="300" w:after="300" w:line="280" w:lineRule="exact"/>
        <w:jc w:val="left"/>
        <w:outlineLvl w:val="2"/>
        <w:rPr>
          <w:rFonts w:hint="eastAsia" w:ascii="宋体" w:hAnsi="宋体" w:eastAsia="宋体" w:cs="宋体"/>
          <w:b/>
          <w:bCs/>
          <w:sz w:val="21"/>
          <w:szCs w:val="21"/>
        </w:rPr>
      </w:pPr>
      <w:bookmarkStart w:id="186" w:name="_Toc989074"/>
      <w:r>
        <w:rPr>
          <w:rFonts w:hint="eastAsia" w:ascii="宋体" w:hAnsi="宋体" w:eastAsia="宋体" w:cs="宋体"/>
          <w:b/>
          <w:bCs/>
          <w:sz w:val="21"/>
          <w:szCs w:val="21"/>
        </w:rPr>
        <w:t>21、职工薪酬</w:t>
      </w:r>
      <w:bookmarkEnd w:id="186"/>
    </w:p>
    <w:p>
      <w:pPr>
        <w:keepNext/>
        <w:keepLines/>
        <w:spacing w:before="300" w:after="300" w:line="280" w:lineRule="exact"/>
        <w:jc w:val="left"/>
        <w:outlineLvl w:val="3"/>
        <w:rPr>
          <w:rFonts w:hint="eastAsia" w:ascii="宋体" w:hAnsi="宋体" w:eastAsia="宋体" w:cs="宋体"/>
          <w:b/>
          <w:bCs/>
          <w:sz w:val="21"/>
          <w:szCs w:val="21"/>
        </w:rPr>
      </w:pPr>
      <w:bookmarkStart w:id="187" w:name="_Toc989075"/>
      <w:r>
        <w:rPr>
          <w:rFonts w:hint="eastAsia" w:ascii="宋体" w:hAnsi="宋体" w:eastAsia="宋体" w:cs="宋体"/>
          <w:b/>
          <w:bCs/>
          <w:sz w:val="21"/>
          <w:szCs w:val="21"/>
        </w:rPr>
        <w:t>（1） 短期薪酬的会计处理方法</w:t>
      </w:r>
      <w:bookmarkEnd w:id="187"/>
    </w:p>
    <w:p>
      <w:pPr>
        <w:pStyle w:val="8"/>
        <w:keepNext w:val="0"/>
        <w:keepLines w:val="0"/>
        <w:widowControl/>
        <w:suppressLineNumbers w:val="0"/>
        <w:spacing w:before="0" w:beforeAutospacing="0" w:after="216" w:afterAutospacing="0"/>
        <w:ind w:left="-2" w:right="0"/>
        <w:jc w:val="both"/>
        <w:rPr>
          <w:rFonts w:hint="eastAsia" w:ascii="宋体" w:hAnsi="宋体" w:cs="宋体"/>
          <w:sz w:val="21"/>
          <w:szCs w:val="21"/>
        </w:rPr>
      </w:pPr>
      <w:r>
        <w:rPr>
          <w:rFonts w:hint="eastAsia" w:ascii="宋体" w:hAnsi="宋体" w:eastAsia="宋体" w:cs="宋体"/>
          <w:sz w:val="21"/>
          <w:szCs w:val="21"/>
        </w:rPr>
        <w:t>本公司在职工提供服务的会计期间，将实际发生的职工工资、奖金、按规定的基准和比例为职工缴纳的医疗保险费、工伤保险费和生育保险费等社会保险费和住房公积金，确认为负债，并计入当期损益或相关资产成本。</w:t>
      </w:r>
    </w:p>
    <w:p>
      <w:pPr>
        <w:keepNext/>
        <w:keepLines/>
        <w:spacing w:before="300" w:after="300" w:line="280" w:lineRule="exact"/>
        <w:jc w:val="left"/>
        <w:outlineLvl w:val="3"/>
        <w:rPr>
          <w:rFonts w:hint="eastAsia" w:ascii="宋体" w:hAnsi="宋体" w:eastAsia="宋体" w:cs="宋体"/>
          <w:b/>
          <w:bCs/>
          <w:sz w:val="21"/>
          <w:szCs w:val="21"/>
        </w:rPr>
      </w:pPr>
      <w:bookmarkStart w:id="188" w:name="_Toc989076"/>
      <w:r>
        <w:rPr>
          <w:rFonts w:hint="eastAsia" w:ascii="宋体" w:hAnsi="宋体" w:eastAsia="宋体" w:cs="宋体"/>
          <w:b/>
          <w:bCs/>
          <w:sz w:val="21"/>
          <w:szCs w:val="21"/>
        </w:rPr>
        <w:t>（2） 离职后福利的会计处理方法</w:t>
      </w:r>
      <w:bookmarkEnd w:id="188"/>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设定提存计划</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设定提存计划包括基本养老保险、失业保险等。</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在职工提供服务的会计期间，根据设定提存计划计算的应缴存金额确认为负债，并计入当期损益或相关资产成本。</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设定受益计划</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对于设定受益计划，在年度资产负债表日由独立精算师进行精算估值，以预期累积福利单位法确定提供福利的成本。本公司设定受益计划导致的职工薪酬成本包括下列组成部分：</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①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②设定受益计划净负债或净资产的利息净额，包括计划资产的利息收益、设定受益计划义务的利息费用以及资产上限影响的利息。</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③重新计量设定受益计划净负债或净资产所产生的变动。</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除非其他会计准则要求或允许职工福利成本计入资产成本，本公司将上述第①和②项计入当期损益；第③项计入其他综合收益且不会在后续会计期间转回至损益，</w:t>
      </w:r>
      <w:r>
        <w:rPr>
          <w:rFonts w:hint="eastAsia" w:ascii="宋体" w:hAnsi="宋体" w:eastAsia="宋体" w:cs="宋体"/>
          <w:sz w:val="21"/>
          <w:szCs w:val="21"/>
        </w:rPr>
        <w:t>在原设定受益计划终止时在权益范围内将原计入其他综合收益的部分全部结转至未分配利润。</w:t>
      </w:r>
    </w:p>
    <w:p>
      <w:pPr>
        <w:keepNext/>
        <w:keepLines/>
        <w:spacing w:before="300" w:after="300" w:line="280" w:lineRule="exact"/>
        <w:jc w:val="left"/>
        <w:outlineLvl w:val="3"/>
        <w:rPr>
          <w:rFonts w:hint="eastAsia" w:ascii="宋体" w:hAnsi="宋体" w:eastAsia="宋体" w:cs="宋体"/>
          <w:b/>
          <w:bCs/>
          <w:sz w:val="21"/>
          <w:szCs w:val="21"/>
        </w:rPr>
      </w:pPr>
      <w:bookmarkStart w:id="189" w:name="_Toc989077"/>
      <w:r>
        <w:rPr>
          <w:rFonts w:hint="eastAsia" w:ascii="宋体" w:hAnsi="宋体" w:eastAsia="宋体" w:cs="宋体"/>
          <w:b/>
          <w:bCs/>
          <w:sz w:val="21"/>
          <w:szCs w:val="21"/>
        </w:rPr>
        <w:t>（3） 辞退福利的会计处理方法</w:t>
      </w:r>
      <w:bookmarkEnd w:id="189"/>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向职工提供辞退福利的，在下列两者孰早日确认辞退福利产生的职工薪酬负债，并计入当期损益：本公司不能单方面撤回因解除劳动关系计划或裁减建议所提供的辞退福利时；本公司确认与涉及支付辞退福利的重组相关的成本或费用时。</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实行职工内部退休计划的，在正式退休日之前的经济补偿，属于辞退福利，自职工停止提供服务日至正常退休日期间，拟支付的内退职工工资和缴纳的社会保险费等一次性计入当期损益。正式退休日期之后的经济补偿（如正常养老退休金），按照离职后福利处理。</w:t>
      </w:r>
    </w:p>
    <w:p>
      <w:pPr>
        <w:keepNext/>
        <w:keepLines/>
        <w:spacing w:before="300" w:after="300" w:line="280" w:lineRule="exact"/>
        <w:jc w:val="left"/>
        <w:outlineLvl w:val="3"/>
        <w:rPr>
          <w:rFonts w:hint="eastAsia" w:ascii="宋体" w:hAnsi="宋体" w:eastAsia="宋体" w:cs="宋体"/>
          <w:b/>
          <w:bCs/>
          <w:sz w:val="21"/>
          <w:szCs w:val="21"/>
        </w:rPr>
      </w:pPr>
      <w:bookmarkStart w:id="190" w:name="_Toc989078"/>
      <w:r>
        <w:rPr>
          <w:rFonts w:hint="eastAsia" w:ascii="宋体" w:hAnsi="宋体" w:eastAsia="宋体" w:cs="宋体"/>
          <w:b/>
          <w:bCs/>
          <w:sz w:val="21"/>
          <w:szCs w:val="21"/>
        </w:rPr>
        <w:t>（4） 其他长期职工福利的会计处理方法</w:t>
      </w:r>
      <w:bookmarkEnd w:id="190"/>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向职工提供的其他长期职工福利，符合设定提存计划条件的，按照上述关于设定提存计划的有关规定进行处理。符合设定受益计划的，按照上述关于设定受益计划的有关规定进行处理，但相关职工薪酬成本中“重新计量设定受益计划净负债或净资产所产生的变动”部分计入当期损益或相关资产成本。</w:t>
      </w:r>
    </w:p>
    <w:p>
      <w:pPr>
        <w:keepNext/>
        <w:keepLines/>
        <w:spacing w:before="300" w:after="300" w:line="280" w:lineRule="exact"/>
        <w:jc w:val="left"/>
        <w:outlineLvl w:val="2"/>
        <w:rPr>
          <w:rFonts w:hint="eastAsia" w:ascii="宋体" w:hAnsi="宋体" w:eastAsia="宋体" w:cs="宋体"/>
          <w:b/>
          <w:bCs/>
          <w:sz w:val="21"/>
          <w:szCs w:val="21"/>
        </w:rPr>
      </w:pPr>
      <w:bookmarkStart w:id="191" w:name="_Toc989079"/>
      <w:r>
        <w:rPr>
          <w:rFonts w:hint="eastAsia" w:ascii="宋体" w:hAnsi="宋体" w:eastAsia="宋体" w:cs="宋体"/>
          <w:b/>
          <w:bCs/>
          <w:sz w:val="21"/>
          <w:szCs w:val="21"/>
        </w:rPr>
        <w:t>22、预计负债</w:t>
      </w:r>
      <w:bookmarkEnd w:id="191"/>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如果与或有事项相关的义务同时符合以下条件，本公司将其确认为预计负债：</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（1）该义务是本公司承担的现时义务；</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（2）该义务的履行很可能导致经济利益流出本公司；</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（3）该义务的金额能够可靠地计量。</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pPr>
        <w:pStyle w:val="8"/>
        <w:keepNext w:val="0"/>
        <w:keepLines w:val="0"/>
        <w:widowControl/>
        <w:suppressLineNumbers w:val="0"/>
        <w:spacing w:before="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如果清偿已确认预计负债所需支出全部或部分预期由第三方或其他方补偿，则补偿金额只能在基本确定能收到时，作为资产单独确认。确认的补偿金额不超过所确认负债的账面价值。</w:t>
      </w:r>
    </w:p>
    <w:p>
      <w:pPr>
        <w:keepNext/>
        <w:keepLines/>
        <w:spacing w:before="300" w:after="300" w:line="280" w:lineRule="exact"/>
        <w:jc w:val="left"/>
        <w:outlineLvl w:val="2"/>
        <w:rPr>
          <w:rFonts w:hint="eastAsia" w:ascii="宋体" w:hAnsi="宋体" w:eastAsia="宋体" w:cs="宋体"/>
          <w:b/>
          <w:bCs/>
          <w:sz w:val="21"/>
          <w:szCs w:val="21"/>
        </w:rPr>
      </w:pPr>
      <w:bookmarkStart w:id="192" w:name="_Toc989080"/>
      <w:r>
        <w:rPr>
          <w:rFonts w:hint="eastAsia" w:ascii="宋体" w:hAnsi="宋体" w:eastAsia="宋体" w:cs="宋体"/>
          <w:b/>
          <w:bCs/>
          <w:sz w:val="21"/>
          <w:szCs w:val="21"/>
        </w:rPr>
        <w:t>23、收入</w:t>
      </w:r>
      <w:bookmarkEnd w:id="192"/>
    </w:p>
    <w:p>
      <w:pPr>
        <w:spacing w:before="100" w:after="100" w:line="240" w:lineRule="exact"/>
        <w:jc w:val="left"/>
        <w:rPr>
          <w:rFonts w:hint="eastAsia" w:ascii="宋体" w:hAnsi="宋体" w:eastAsia="宋体" w:cs="宋体"/>
          <w:sz w:val="21"/>
          <w:szCs w:val="21"/>
        </w:rPr>
      </w:pPr>
      <w:r>
        <w:rPr>
          <w:rFonts w:hint="eastAsia" w:ascii="宋体" w:hAnsi="宋体" w:eastAsia="宋体" w:cs="宋体"/>
          <w:sz w:val="21"/>
          <w:szCs w:val="21"/>
        </w:rPr>
        <w:t>按照业务类型披露收入确认和计量所采用的会计政策</w:t>
      </w:r>
    </w:p>
    <w:p>
      <w:pPr>
        <w:pStyle w:val="4"/>
        <w:spacing w:before="120" w:after="216"/>
        <w:ind w:left="0" w:leftChars="0" w:firstLine="0" w:firstLineChars="0"/>
        <w:rPr>
          <w:sz w:val="21"/>
          <w:szCs w:val="21"/>
        </w:rPr>
      </w:pPr>
      <w:r>
        <w:rPr>
          <w:rFonts w:hint="eastAsia"/>
          <w:sz w:val="21"/>
          <w:szCs w:val="21"/>
        </w:rPr>
        <w:t>（1）一般原则</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本公司在履行了合同中的履约义务，即在客户取得相关商品或服务的控制权时确认收入。</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 xml:space="preserve">合同中包含两项或多项履约义务的，本公司在合同开始日，按照各单项履约义务所承诺商品或服务的单独售价的相对比例，将交易价格分摊至各单项履约义务，按照分摊至各单项履约义务的交易价格计量收入。 </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满足下列条件之一时，属于在某一时段内履行履约义务；否则，属于在某一时点履行履约义务：</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①客户在本公司履约的同时即取得并消耗本公司履约所带来的经济利益。</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②客户能够控制本公司履约过程中在建的商品。</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③本公司履约过程中所产出的商品具有不可替代用途，且本公司在整个合同期间内有权就累计至今已完成的履约部分收取款项。</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 xml:space="preserve">对于在某一时段内履行的履约义务，本公司在该段时间内按照履约进度确认收入。履约进度不能合理确定时，本公司已经发生的成本预计能够得到补偿的，按照已经发生的成本金额确认收入，直到履约进度能够合理确定为止。 </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对于在某一时点履行的履约义务，本公司在客户取得相关商品或服务控制权时点确认收入。在判断客户是否已取得商品或服务控制权时，本公司会考虑下列迹象：</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①本公司就该商品或服务享有现时收款权利，即客户就该商品负有现时付款义务。</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②本公司已将该商品的法定所有权转移给客户，即客户已拥有该商品的法定所有权。</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③本公司已将该商品的实物转移给客户，即客户已实物占有该商品。</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④本公司已将该商品所有权上的主要风险和报酬转移给客户，即客户已取得该商品所有权上的主要风险和报酬。</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⑤客户已接受该商品或服务。</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⑥其他表明客户已取得商品控制权的迹象。</w:t>
      </w:r>
    </w:p>
    <w:p>
      <w:pPr>
        <w:pStyle w:val="4"/>
        <w:spacing w:before="120" w:after="216"/>
        <w:ind w:left="0" w:leftChars="0" w:firstLine="0" w:firstLineChars="0"/>
        <w:rPr>
          <w:sz w:val="21"/>
          <w:szCs w:val="21"/>
        </w:rPr>
      </w:pPr>
      <w:r>
        <w:rPr>
          <w:rFonts w:hint="eastAsia"/>
          <w:sz w:val="21"/>
          <w:szCs w:val="21"/>
        </w:rPr>
        <w:t>（2）具体方法</w:t>
      </w:r>
    </w:p>
    <w:p>
      <w:pPr>
        <w:snapToGrid w:val="0"/>
        <w:spacing w:after="216" w:afterLines="90" w:line="340" w:lineRule="atLeast"/>
        <w:rPr>
          <w:rFonts w:hint="eastAsia" w:ascii="宋体" w:hAnsi="宋体" w:eastAsia="宋体" w:cs="宋体"/>
          <w:sz w:val="21"/>
          <w:szCs w:val="21"/>
        </w:rPr>
      </w:pPr>
      <w:r>
        <w:rPr>
          <w:rFonts w:hint="eastAsia" w:ascii="宋体" w:hAnsi="宋体" w:eastAsia="宋体" w:cs="宋体"/>
          <w:sz w:val="21"/>
          <w:szCs w:val="21"/>
        </w:rPr>
        <w:t>本公司收入主要来源于以下业务类型：汽车销售、汽车维修及检测</w:t>
      </w:r>
      <w:r>
        <w:rPr>
          <w:rFonts w:ascii="宋体" w:hAnsi="宋体" w:cs="宋体"/>
          <w:sz w:val="21"/>
          <w:szCs w:val="21"/>
        </w:rPr>
        <w:t xml:space="preserve"> </w:t>
      </w:r>
      <w:r>
        <w:rPr>
          <w:rFonts w:hint="eastAsia" w:ascii="宋体" w:hAnsi="宋体" w:eastAsia="宋体" w:cs="宋体"/>
          <w:sz w:val="21"/>
          <w:szCs w:val="21"/>
        </w:rPr>
        <w:t>、物业租赁及服务、珠宝销售及服务。</w:t>
      </w:r>
    </w:p>
    <w:p>
      <w:pPr>
        <w:snapToGrid w:val="0"/>
        <w:spacing w:after="216" w:afterLines="90"/>
        <w:rPr>
          <w:rFonts w:hint="eastAsia" w:ascii="宋体" w:hAnsi="宋体" w:eastAsia="宋体" w:cs="宋体"/>
          <w:b/>
          <w:sz w:val="21"/>
          <w:szCs w:val="21"/>
        </w:rPr>
      </w:pPr>
      <w:r>
        <w:rPr>
          <w:rFonts w:hint="eastAsia" w:ascii="宋体" w:hAnsi="宋体" w:eastAsia="宋体" w:cs="宋体"/>
          <w:b/>
          <w:sz w:val="21"/>
          <w:szCs w:val="21"/>
        </w:rPr>
        <w:t>①汽车销售</w:t>
      </w:r>
    </w:p>
    <w:p>
      <w:pPr>
        <w:snapToGrid w:val="0"/>
        <w:spacing w:before="120" w:beforeLines="50" w:after="216" w:afterLines="90" w:line="340" w:lineRule="atLeast"/>
        <w:rPr>
          <w:rFonts w:hint="eastAsia" w:ascii="宋体" w:hAnsi="宋体" w:eastAsia="宋体" w:cs="宋体"/>
          <w:sz w:val="21"/>
          <w:szCs w:val="21"/>
        </w:rPr>
      </w:pPr>
      <w:r>
        <w:rPr>
          <w:rFonts w:hint="eastAsia" w:ascii="宋体" w:hAnsi="宋体" w:eastAsia="宋体" w:cs="宋体"/>
          <w:sz w:val="21"/>
          <w:szCs w:val="21"/>
          <w:lang w:bidi="ar"/>
        </w:rPr>
        <w:t>本公司与客户之间的销售商品合同包含转让商品的履约义务，属于在某一时点履行履约义务。</w:t>
      </w:r>
    </w:p>
    <w:p>
      <w:pPr>
        <w:snapToGrid w:val="0"/>
        <w:spacing w:before="120" w:beforeLines="50" w:after="216" w:afterLines="90" w:line="340" w:lineRule="atLeast"/>
        <w:rPr>
          <w:rFonts w:hint="eastAsia" w:ascii="宋体" w:hAnsi="宋体" w:eastAsia="宋体" w:cs="宋体"/>
          <w:sz w:val="21"/>
          <w:szCs w:val="21"/>
        </w:rPr>
      </w:pPr>
      <w:r>
        <w:rPr>
          <w:rFonts w:hint="eastAsia" w:ascii="宋体" w:hAnsi="宋体" w:eastAsia="宋体" w:cs="宋体"/>
          <w:sz w:val="21"/>
          <w:szCs w:val="21"/>
          <w:lang w:bidi="ar"/>
        </w:rPr>
        <w:t>本公司已根据合同约定将商品交付给客户且客户已接受该商品，已经收回货款或取得了收款凭证且相关的经济利益很可能流入，商品所有权上的主要风险和报酬已转移，商品的法定所有权已转移。在满足本公司向消费者完成车辆交付后，商品控制权转移至消费者时确认收入。</w:t>
      </w:r>
    </w:p>
    <w:p>
      <w:pPr>
        <w:snapToGrid w:val="0"/>
        <w:spacing w:after="216" w:afterLines="90"/>
        <w:rPr>
          <w:rFonts w:hint="eastAsia" w:ascii="宋体" w:hAnsi="宋体" w:eastAsia="宋体" w:cs="宋体"/>
          <w:b/>
          <w:sz w:val="21"/>
          <w:szCs w:val="21"/>
        </w:rPr>
      </w:pPr>
      <w:r>
        <w:rPr>
          <w:rFonts w:hint="eastAsia" w:ascii="宋体" w:hAnsi="宋体" w:eastAsia="宋体" w:cs="宋体"/>
          <w:b/>
          <w:sz w:val="21"/>
          <w:szCs w:val="21"/>
        </w:rPr>
        <w:t>②汽车维修及检测服务</w:t>
      </w:r>
    </w:p>
    <w:p>
      <w:pPr>
        <w:snapToGrid w:val="0"/>
        <w:spacing w:after="216" w:afterLines="90"/>
        <w:rPr>
          <w:rFonts w:hint="eastAsia" w:ascii="宋体" w:hAnsi="宋体" w:eastAsia="宋体" w:cs="宋体"/>
          <w:sz w:val="21"/>
          <w:szCs w:val="21"/>
          <w:lang w:bidi="ar"/>
        </w:rPr>
      </w:pPr>
      <w:r>
        <w:rPr>
          <w:rFonts w:hint="eastAsia" w:ascii="宋体" w:hAnsi="宋体" w:eastAsia="宋体" w:cs="宋体"/>
          <w:sz w:val="21"/>
          <w:szCs w:val="21"/>
          <w:lang w:bidi="ar"/>
        </w:rPr>
        <w:t>本公司与客户之间的销售商品合同包含转让商品的履约义务，属于在某一时点履行履约义务。</w:t>
      </w:r>
    </w:p>
    <w:p>
      <w:pPr>
        <w:snapToGrid w:val="0"/>
        <w:spacing w:before="120" w:beforeLines="50" w:after="216" w:afterLines="90" w:line="340" w:lineRule="atLeast"/>
        <w:rPr>
          <w:rFonts w:hint="eastAsia" w:ascii="宋体" w:hAnsi="宋体" w:eastAsia="宋体" w:cs="宋体"/>
          <w:sz w:val="21"/>
          <w:szCs w:val="21"/>
        </w:rPr>
      </w:pPr>
      <w:r>
        <w:rPr>
          <w:rFonts w:hint="eastAsia" w:ascii="宋体" w:hAnsi="宋体" w:eastAsia="宋体" w:cs="宋体"/>
          <w:sz w:val="21"/>
          <w:szCs w:val="21"/>
          <w:lang w:bidi="ar"/>
        </w:rPr>
        <w:t>本公司已根据合同约定完成汽车维修、检测服务，已经与客户结算全部材料、工时费用，在满足汽车离开本公司维修厂时确认收入。</w:t>
      </w:r>
    </w:p>
    <w:p>
      <w:pPr>
        <w:snapToGrid w:val="0"/>
        <w:spacing w:after="216" w:afterLines="90"/>
        <w:rPr>
          <w:rFonts w:hint="eastAsia" w:ascii="宋体" w:hAnsi="宋体" w:eastAsia="宋体" w:cs="宋体"/>
          <w:b/>
          <w:sz w:val="21"/>
          <w:szCs w:val="21"/>
        </w:rPr>
      </w:pPr>
      <w:r>
        <w:rPr>
          <w:rFonts w:hint="eastAsia" w:ascii="宋体" w:hAnsi="宋体" w:eastAsia="宋体" w:cs="宋体"/>
          <w:b/>
          <w:sz w:val="21"/>
          <w:szCs w:val="21"/>
        </w:rPr>
        <w:t>③物业租赁及服务</w:t>
      </w:r>
    </w:p>
    <w:p>
      <w:pPr>
        <w:snapToGrid w:val="0"/>
        <w:spacing w:before="120" w:beforeLines="50" w:after="216" w:afterLines="90" w:line="340" w:lineRule="atLeast"/>
        <w:rPr>
          <w:rFonts w:hint="eastAsia" w:ascii="宋体" w:hAnsi="宋体" w:eastAsia="宋体" w:cs="宋体"/>
          <w:sz w:val="21"/>
          <w:szCs w:val="21"/>
          <w:lang w:bidi="ar"/>
        </w:rPr>
      </w:pPr>
      <w:r>
        <w:rPr>
          <w:rFonts w:hint="eastAsia" w:ascii="宋体" w:hAnsi="宋体" w:eastAsia="宋体" w:cs="宋体"/>
          <w:sz w:val="21"/>
          <w:szCs w:val="21"/>
          <w:lang w:bidi="ar"/>
        </w:rPr>
        <w:t>本公司在租赁期内各个期间按照直线法将租赁收款额确认为租金收入，发生的初始直接费用予以资本化并按照与租金收入确认相同的基础进行分摊，分期计入当期损益。本公司取得的与经营租赁有关的未计入租赁收款额的可变租赁付款额在实际发生时计入当期损益。</w:t>
      </w:r>
    </w:p>
    <w:p>
      <w:pPr>
        <w:snapToGrid w:val="0"/>
        <w:spacing w:before="120" w:beforeLines="50" w:after="216" w:afterLines="90" w:line="340" w:lineRule="atLeast"/>
        <w:rPr>
          <w:rFonts w:hint="eastAsia" w:ascii="宋体" w:hAnsi="宋体" w:eastAsia="宋体" w:cs="宋体"/>
          <w:color w:val="FF0000"/>
          <w:sz w:val="21"/>
          <w:szCs w:val="21"/>
        </w:rPr>
      </w:pPr>
      <w:r>
        <w:rPr>
          <w:rFonts w:hint="eastAsia" w:ascii="宋体" w:hAnsi="宋体" w:eastAsia="宋体" w:cs="宋体"/>
          <w:sz w:val="21"/>
          <w:szCs w:val="21"/>
          <w:lang w:bidi="ar"/>
        </w:rPr>
        <w:t>本公司与客户之间的提供服务合同包含与出租房地产相关的服务的履约义务，由于本公司履约的同时客户即取得并消耗本公司履约所带来的经济利益，本公司将其作为在某一时段内履行的履约义务，在服务提供期间平均分摊确</w:t>
      </w:r>
      <w:r>
        <w:rPr>
          <w:rFonts w:hint="eastAsia" w:ascii="宋体" w:hAnsi="宋体" w:eastAsia="宋体" w:cs="宋体"/>
          <w:color w:val="auto"/>
          <w:sz w:val="21"/>
          <w:szCs w:val="21"/>
          <w:lang w:bidi="ar"/>
        </w:rPr>
        <w:t>认收入</w:t>
      </w:r>
      <w:r>
        <w:rPr>
          <w:rFonts w:hint="eastAsia" w:ascii="宋体" w:hAnsi="宋体" w:eastAsia="宋体" w:cs="宋体"/>
          <w:color w:val="auto"/>
          <w:sz w:val="21"/>
          <w:szCs w:val="21"/>
        </w:rPr>
        <w:t>。</w:t>
      </w:r>
    </w:p>
    <w:p>
      <w:pPr>
        <w:snapToGrid w:val="0"/>
        <w:spacing w:after="216" w:afterLines="90"/>
        <w:rPr>
          <w:rFonts w:hint="eastAsia" w:ascii="宋体" w:hAnsi="宋体" w:eastAsia="宋体" w:cs="宋体"/>
          <w:b/>
          <w:sz w:val="21"/>
          <w:szCs w:val="21"/>
        </w:rPr>
      </w:pPr>
      <w:r>
        <w:rPr>
          <w:rFonts w:hint="eastAsia" w:ascii="宋体" w:hAnsi="宋体" w:eastAsia="宋体" w:cs="宋体"/>
          <w:b/>
          <w:sz w:val="21"/>
          <w:szCs w:val="21"/>
        </w:rPr>
        <w:t>④黄金珠宝销售及服务</w:t>
      </w:r>
    </w:p>
    <w:p>
      <w:pPr>
        <w:snapToGrid w:val="0"/>
        <w:spacing w:after="216" w:afterLines="90"/>
        <w:rPr>
          <w:rFonts w:hint="eastAsia" w:ascii="宋体" w:hAnsi="宋体" w:cs="宋体"/>
          <w:szCs w:val="21"/>
        </w:rPr>
      </w:pPr>
      <w:r>
        <w:rPr>
          <w:rFonts w:hint="eastAsia" w:ascii="宋体" w:hAnsi="宋体" w:eastAsia="宋体" w:cs="宋体"/>
          <w:sz w:val="21"/>
          <w:szCs w:val="21"/>
        </w:rPr>
        <w:t>本公司根据在向客户转让商品或服务前是否拥有对该商品或服务的控制权，来判断本公司从事交易时的身份是主要责任人还是代理人。本公司在向客户转让商品或服务前能够控制该商品或服务的，本公司为主要责任人，按照已收或应收对价总额确认收入；否则，本公司为代理人，按照预期有权收取的佣金或手续费的金额确认收入，该金额按照已收或应收对价总额扣除应支付给其他相关方的价款后的净额，或者按照既定的佣金金额或比例等确定。</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本公司黄金珠宝销售收入确认的具体方法如下：</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本公司黄金珠宝销售方式以直销模式为主，委托代销为辅。直销主要销售渠道包括批发商、电商及直营店零售。批发商、电商及直营店零售销售模式的收入确认时点如下：</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①批发商销售是指购货方直接与公司达成合作，本公司于商品相关的控制权已转移给购货方作为按销售合同完成履约义务的时点，经客户验收，出具签收单确认收入。属于在某一时点履行的履约义务。</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②电商销售渠道是指通过电子商务平台销售商品，本公司于客户签收并已收取货款或取得索取货款权利时确认销售收入。属于在某一时点履行的履约义务。</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③直营店零售是指通过自有房产销售商品，本公司于商品销售给客户并收取货款或者取得索取货款权利时确认销售收入。属于在某一时点履行的履约义务。</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④委托代销是指将产品运输至委托销售方门店，本公司于委托销售方实际销售给终端消费者，终端消费者签收，商品相关的控制权已转移给终端消费者作为销售合同完成履约义务的时点，并确认收入。属于在某一时点履行的履约义务。</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本公司其他收入确认的具体方法如下：</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自主黄金回购业务是指公司从市场取得旧金后委托精炼厂加工成标准金条，销售给上海黄金交易所。根据上海黄金交易所时点价格，在交易系统中确认卖出（点价），取得上海黄金交易所的结算单后确认收入。</w:t>
      </w:r>
    </w:p>
    <w:p>
      <w:pPr>
        <w:snapToGrid w:val="0"/>
        <w:spacing w:after="216" w:afterLines="90"/>
        <w:rPr>
          <w:rFonts w:hint="eastAsia" w:ascii="宋体" w:hAnsi="宋体" w:eastAsia="宋体" w:cs="宋体"/>
          <w:sz w:val="21"/>
          <w:szCs w:val="21"/>
        </w:rPr>
      </w:pPr>
      <w:r>
        <w:rPr>
          <w:rFonts w:hint="eastAsia" w:ascii="宋体" w:hAnsi="宋体" w:eastAsia="宋体" w:cs="宋体"/>
          <w:sz w:val="21"/>
          <w:szCs w:val="21"/>
          <w:lang w:bidi="ar"/>
        </w:rPr>
        <w:t>代理采购黄金和珠宝业务是指本公司作为代理人，根据代理采购协议为委托人提供代理服务以赚取代理手续费。本公司于客户支付货款，同时客户确认签收时确认代理手续费收入。</w:t>
      </w:r>
    </w:p>
    <w:p>
      <w:pPr>
        <w:snapToGrid w:val="0"/>
        <w:spacing w:before="0" w:after="216" w:afterLines="90" w:line="240" w:lineRule="auto"/>
        <w:jc w:val="left"/>
        <w:rPr>
          <w:rFonts w:hint="eastAsia" w:ascii="宋体" w:hAnsi="宋体" w:eastAsia="宋体" w:cs="宋体"/>
          <w:sz w:val="21"/>
          <w:szCs w:val="21"/>
        </w:rPr>
      </w:pPr>
      <w:r>
        <w:rPr>
          <w:rFonts w:hint="eastAsia" w:ascii="宋体" w:hAnsi="宋体" w:eastAsia="宋体" w:cs="宋体"/>
          <w:sz w:val="21"/>
          <w:szCs w:val="21"/>
          <w:lang w:bidi="ar"/>
        </w:rPr>
        <w:t>代理黄金回购业务是指本公司为供应商代理黄金回购并收取手续费的业务，按照代理黄金回购的时间和合同约定的手续费计算确认收入。</w:t>
      </w:r>
    </w:p>
    <w:p>
      <w:pPr>
        <w:keepNext/>
        <w:keepLines/>
        <w:spacing w:before="300" w:after="300" w:line="280" w:lineRule="exact"/>
        <w:jc w:val="left"/>
        <w:outlineLvl w:val="2"/>
        <w:rPr>
          <w:rFonts w:hint="eastAsia" w:ascii="宋体" w:hAnsi="宋体" w:eastAsia="宋体" w:cs="宋体"/>
          <w:b/>
          <w:bCs/>
          <w:sz w:val="21"/>
          <w:szCs w:val="21"/>
        </w:rPr>
      </w:pPr>
      <w:bookmarkStart w:id="193" w:name="_Toc989081"/>
      <w:r>
        <w:rPr>
          <w:rFonts w:hint="eastAsia" w:ascii="宋体" w:hAnsi="宋体" w:eastAsia="宋体" w:cs="宋体"/>
          <w:b/>
          <w:bCs/>
          <w:sz w:val="21"/>
          <w:szCs w:val="21"/>
        </w:rPr>
        <w:t>24、政府补助</w:t>
      </w:r>
      <w:bookmarkEnd w:id="193"/>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政府补助在满足政府补助所附条件并能够收到时确认。</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对于货币性资产的政府补助，按照收到或应收的金额计量。对于非货币性资产的政府补助，按照公允价值计量；公允价值不能够可靠取得的，按照名义金额1元计量。</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与资产相关的政府补助，是指本公司取得的、用于购建或以其他方式形成长期资产的政府补助；除此之外，作为与收益相关的政府补助。</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与资产相关的政府补助，确认为递延收益在相关资产使用期限内按照合理、系统的方法分期计入损益。与收益相关的政府补助，用于补偿已发生的相关成本费用或损失的，计入当期损益；用于补偿以后期间的相关成本费用或损失的，则计入递延收益，于相关成本费用或损失确认期间计入当期损益。按照名义金额计量的政府补助，直接计入当期损益。本公司对相同或类似的政府补助业务，采用一致的方法处理。</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与日常活动相关的政府补助，按照经济业务实质，计入其他收益。与日常活动无关的政府补助，计入营业外收入。</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已确认的政府补助需要返还时，初始确认时冲减相关资产账面价值的，调整资产账面价值；存在相关递延收益余额的，冲减相关递延收益账面余额，超出部分计入当期损益；属于其他情况的，直接计入当期损益。</w:t>
      </w:r>
    </w:p>
    <w:p>
      <w:pPr>
        <w:keepNext/>
        <w:keepLines/>
        <w:spacing w:before="300" w:after="300" w:line="280" w:lineRule="exact"/>
        <w:jc w:val="left"/>
        <w:outlineLvl w:val="2"/>
        <w:rPr>
          <w:rFonts w:hint="eastAsia" w:ascii="宋体" w:hAnsi="宋体" w:eastAsia="宋体" w:cs="宋体"/>
          <w:b/>
          <w:bCs/>
          <w:sz w:val="21"/>
          <w:szCs w:val="21"/>
        </w:rPr>
      </w:pPr>
      <w:bookmarkStart w:id="194" w:name="_Toc989082"/>
      <w:r>
        <w:rPr>
          <w:rFonts w:hint="eastAsia" w:ascii="宋体" w:hAnsi="宋体" w:eastAsia="宋体" w:cs="宋体"/>
          <w:b/>
          <w:bCs/>
          <w:sz w:val="21"/>
          <w:szCs w:val="21"/>
        </w:rPr>
        <w:t>25、递延所得税资产/递延所得税负债</w:t>
      </w:r>
      <w:bookmarkEnd w:id="194"/>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所得税包括当期所得税和递延所得税。除由于企业合并产生的调整商誉，或与直接计入所有者权益的交易或者事项相关的递延所得税计入所有者权益外，均作为所得税费用计入当期损益。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本公司根据资产、负债于资产负债表日的账面价值与计税基础之间的暂时性差异，采用资产负债表债务法确认递延所得税。</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各项应纳税暂时性差异均确认相关的递延所得税负债，除非该应纳税暂时性差异是在以下交易中产生的：</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1）商誉的初始确认，或者具有以下特征的交易中产生的资产或负债的初始确认：该交易不是企业合并，并且交易发生时既不影响会计利润也不影响应纳税所得额（初始确认的资产和负债导致产生等额应纳税暂时性差异和可抵扣暂时性差异的单项交易除外）；</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（2）对于与子公司、合营企业及联营企业投资相关的应纳税暂时性差异，该暂时性差异转回的时间能够控制并且该暂时性差异在可预见的未来很可能不会转回。</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（1）该交易不是企业合并，并且交易发生时既不影响会计利润也不影响应纳税所得额（初始确认的资产和负债导致产生等额应纳税暂时性差异和可抵扣暂时性差异的单项交易除外）；</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资产负债表日，本公司对递延所得税资产和递延所得税负债，按照预期收回该资产或清偿该负债期间的适用税率计量，并反映资产负债表日预期收回资产或清偿负债方式的所得税影响。</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资产负债表日，递延所得税资产和递延所得税负债在同时满足下列条件时以抵销后的净额列示：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（1）本公司内该纳税主体拥有以净额结算当期所得税资产和当期所得税负债的法定权利；</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（2）递延所得税资产和递延所得税负债是与同一税收征管部门对本公司内同一纳税主体征收的所得税相关。</w:t>
      </w:r>
    </w:p>
    <w:p>
      <w:pPr>
        <w:keepNext/>
        <w:keepLines/>
        <w:pageBreakBefore w:val="0"/>
        <w:widowControl w:val="0"/>
        <w:kinsoku/>
        <w:wordWrap/>
        <w:overflowPunct/>
        <w:topLinePunct w:val="0"/>
        <w:autoSpaceDE/>
        <w:autoSpaceDN/>
        <w:bidi w:val="0"/>
        <w:adjustRightInd/>
        <w:snapToGrid/>
        <w:spacing w:before="220" w:after="220" w:line="280" w:lineRule="exact"/>
        <w:jc w:val="left"/>
        <w:textAlignment w:val="auto"/>
        <w:outlineLvl w:val="2"/>
        <w:rPr>
          <w:rFonts w:hint="eastAsia" w:ascii="宋体" w:hAnsi="宋体" w:eastAsia="宋体" w:cs="宋体"/>
          <w:b/>
          <w:bCs/>
          <w:sz w:val="21"/>
          <w:szCs w:val="21"/>
        </w:rPr>
      </w:pPr>
      <w:bookmarkStart w:id="195" w:name="_Toc989083"/>
      <w:r>
        <w:rPr>
          <w:rFonts w:hint="eastAsia" w:ascii="宋体" w:hAnsi="宋体" w:eastAsia="宋体" w:cs="宋体"/>
          <w:b/>
          <w:bCs/>
          <w:sz w:val="21"/>
          <w:szCs w:val="21"/>
        </w:rPr>
        <w:t>26、租赁</w:t>
      </w:r>
      <w:bookmarkEnd w:id="195"/>
    </w:p>
    <w:p>
      <w:pPr>
        <w:keepNext/>
        <w:keepLines/>
        <w:pageBreakBefore w:val="0"/>
        <w:widowControl w:val="0"/>
        <w:kinsoku/>
        <w:wordWrap/>
        <w:overflowPunct/>
        <w:topLinePunct w:val="0"/>
        <w:autoSpaceDE/>
        <w:autoSpaceDN/>
        <w:bidi w:val="0"/>
        <w:adjustRightInd/>
        <w:snapToGrid/>
        <w:spacing w:before="220" w:after="220" w:line="280" w:lineRule="exact"/>
        <w:jc w:val="left"/>
        <w:textAlignment w:val="auto"/>
        <w:outlineLvl w:val="3"/>
        <w:rPr>
          <w:rFonts w:hint="eastAsia" w:ascii="宋体" w:hAnsi="宋体" w:eastAsia="宋体" w:cs="宋体"/>
          <w:b/>
          <w:bCs/>
          <w:sz w:val="21"/>
          <w:szCs w:val="21"/>
        </w:rPr>
      </w:pPr>
      <w:bookmarkStart w:id="196" w:name="_Toc989084"/>
      <w:r>
        <w:rPr>
          <w:rFonts w:hint="eastAsia" w:ascii="宋体" w:hAnsi="宋体" w:eastAsia="宋体" w:cs="宋体"/>
          <w:b/>
          <w:bCs/>
          <w:sz w:val="21"/>
          <w:szCs w:val="21"/>
        </w:rPr>
        <w:t>（1） 作为承租方租赁的会计处理方法</w:t>
      </w:r>
      <w:bookmarkEnd w:id="196"/>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在租赁期开始日，本公司对所有租赁确认使用权资产和租赁负债，简化处理的短期租赁和低价值资产租赁除外。</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租赁负债按照租赁期开始日尚未支付的租赁付款额采用租赁内含利率</w:t>
      </w:r>
      <w:r>
        <w:rPr>
          <w:rFonts w:hint="eastAsia" w:ascii="宋体" w:hAnsi="宋体" w:eastAsia="宋体" w:cs="宋体"/>
          <w:color w:val="000000"/>
          <w:sz w:val="21"/>
          <w:szCs w:val="21"/>
        </w:rPr>
        <w:t>计算的现值进行初始计量，无法确定租赁内含利率的，采用增量借款利率作为折现率。租赁付款额包括：固定付款额及实质固定付款额，存在租赁激励的，扣除租赁激励相关金额；取决于指数或比率的可变租赁付款额；购买选择权的行权价格，前提是承租人合理确定将行使该选择权；行使终止租赁选择权需支付的款项，前提是租赁期反映出承租人将行使终止租赁选择权；以及根据承租人提供的担保余值预计应支付的款项。后续按照固定的周期性利率计算租赁负债在租赁期内各期间的利息费用，并计入当期损益。未纳入租赁负债计量的可变租赁付款额在实际发生时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短期租赁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短期租赁是指在租赁期开始日，租赁期不超过12个月的租赁，包含购买选择权的租赁除外。</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本公司将短期租赁的租赁付款额，在租赁期内各个期间按照直线法的方法计入相关资产成本或当期损益。</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对于短期租赁，本公司按照租赁资产的类别将下列资产类型中满足短期租赁条件的项目选择采用上述简化处理方法。</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低价值资产租赁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低价值资产租赁是指单项租赁资产为全新资产时价值低于4万元的租赁。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本公司将低价值资产租赁的租赁付款额，在租赁期内各个期间按照直线法的方法计入相关资产成本或当期损益。</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对于低价值资产租赁，本公司根据每项租赁的具体情况选择采用上述简化处理方法。</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租赁变更</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租赁发生变更且同时符合下列条件的，本公司将该租赁变更作为一项单独租赁进行会计处理：①该租赁变更通过增加一项或多项租赁资产的使用权而扩大了租赁范围；②增加的对价与租赁范围扩大部分的单独价格按该合同情况调整后的金额相当。</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租赁变更未作为一项单独租赁进行会计处理的，在租赁变更生效日，本公司重新分摊变更后合同的对价，重新确定租赁期，并按照变更后租赁付款额和修订后的折现率计算的现值重新计量租赁负债。</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租赁变更导致租赁范围缩小或租赁期缩短的，本公司相应调减使用权资产的账面价值，并将部分终止或完全终止租赁的相关利得或损失计入当期损益。</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其他租赁变更导致租赁负债重新计量的，本公司相应调整使用权资产的账面价值。</w:t>
      </w:r>
    </w:p>
    <w:p>
      <w:pPr>
        <w:keepNext/>
        <w:keepLines/>
        <w:spacing w:before="300" w:after="300" w:line="280" w:lineRule="exact"/>
        <w:jc w:val="left"/>
        <w:outlineLvl w:val="3"/>
        <w:rPr>
          <w:rFonts w:ascii="宋体" w:hAnsi="宋体" w:eastAsia="宋体" w:cs="宋体"/>
          <w:b/>
          <w:bCs/>
          <w:sz w:val="21"/>
          <w:szCs w:val="21"/>
        </w:rPr>
      </w:pPr>
      <w:bookmarkStart w:id="197" w:name="_Toc989085"/>
      <w:r>
        <w:rPr>
          <w:rFonts w:ascii="宋体" w:hAnsi="宋体" w:eastAsia="宋体" w:cs="宋体"/>
          <w:b/>
          <w:bCs/>
          <w:sz w:val="21"/>
          <w:szCs w:val="21"/>
        </w:rPr>
        <w:t>（2） 作为出租方租赁的会计处理方法</w:t>
      </w:r>
      <w:bookmarkEnd w:id="197"/>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本公司作为出租人时，将实质上转移了与资产所有权有关的全部风险和报酬的租赁确认为融资租赁，除融资租赁之外的其他租赁确认为经营租赁。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融资租赁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融资租赁中，在租赁期开始日本公司按租赁投资净额作为应收融资租赁款的入账价值，租赁投资净额为未担保余值和租赁期开始日尚未收到的租赁收款额按照租赁内含利率折现的现值之和。本公司作为出租人按照固定的周期性利率计算并确认租赁期内各个期间的利息收入。本公司作为出租人取得的未纳入租赁投资净额计量的可变租赁付款额在实际发生时计入当期损益。</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应收融资租赁款的终止确认和减值按照《企业会计准则第22号——金融工具确认和计量》和《企业会计准则第23号——金融资产转移》的规定进行会计处理。</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经营租赁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经营租赁中的租金，本公司在租赁期内各个期间按照直线法确认当期损益。发生的与经营租赁有关的初始直接费用应当资本化，在租赁期内按照与租金收入确认相同的基础进行分摊，分期计入当期损益。取得的与经营租赁有关的未计入租赁收款额的可变租赁付款额，在实际发生时计入当期损益。</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Style w:val="11"/>
          <w:rFonts w:hint="eastAsia" w:ascii="宋体" w:hAnsi="宋体" w:eastAsia="宋体" w:cs="宋体"/>
          <w:sz w:val="21"/>
          <w:szCs w:val="21"/>
        </w:rPr>
        <w:t>租赁变更</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经营租赁发生变更的，本公司自变更生效日起将其作为一项新租赁进行会计处理，与变更前租赁有关的预收或应收租赁收款额视为新租赁的收款额。</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融资租赁发生变更且同时符合下列条件的，本公司将该变更作为一项单独租赁进行会计处理：①该变更通过增加一项或多项租赁资产的使用权而扩大了租赁范围；②增加的对价与租赁范围扩大部分的单独价格按该合同情况调整后的金额相当。</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融资租赁发生变更未作为一项单独租赁进行会计处理的，本公司分别下列情形对变更后的租赁进行处理：①假如变更在租赁开始日生效，该租赁会被分类为经营租赁的，本公司自租赁变更生效日开始将其作为一项新租赁进行会计处理，并以租赁变更生效日前的租赁投资净额作为租赁资产的账面价值；②假如变更在租赁开始日生效，该租赁会被分类为融资租赁的，本公司按照《企业会计准则第22 号——金融工具确认和计量》关于修改或重新议定合同的规定进行会计处理。</w:t>
      </w:r>
    </w:p>
    <w:p>
      <w:pPr>
        <w:keepNext/>
        <w:keepLines/>
        <w:spacing w:before="300" w:after="300" w:line="280" w:lineRule="exact"/>
        <w:jc w:val="left"/>
        <w:outlineLvl w:val="2"/>
        <w:rPr>
          <w:rFonts w:ascii="宋体" w:hAnsi="宋体" w:eastAsia="宋体" w:cs="宋体"/>
          <w:b/>
          <w:bCs/>
          <w:sz w:val="21"/>
          <w:szCs w:val="21"/>
        </w:rPr>
      </w:pPr>
      <w:bookmarkStart w:id="198" w:name="_Toc989086"/>
      <w:r>
        <w:rPr>
          <w:rFonts w:ascii="宋体" w:hAnsi="宋体" w:eastAsia="宋体" w:cs="宋体"/>
          <w:b/>
          <w:bCs/>
          <w:sz w:val="21"/>
          <w:szCs w:val="21"/>
        </w:rPr>
        <w:t>27、其他重要的会计政策和会计估计</w:t>
      </w:r>
      <w:bookmarkEnd w:id="198"/>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212121"/>
          <w:sz w:val="21"/>
          <w:szCs w:val="21"/>
        </w:rPr>
        <w:t>本公司根据历史经验和其它因素，包括对未来事项的合理预期，对所采用的重要会计估计和关键假设进行持续的评价。很可能导致下一会计年度资产和负债的账面价值出现重大调整风险的重要会计估计和关键假设列示如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ind w:left="0" w:right="0"/>
        <w:jc w:val="both"/>
        <w:textAlignment w:val="auto"/>
        <w:rPr>
          <w:rFonts w:hint="eastAsia" w:ascii="宋体" w:hAnsi="宋体" w:cs="宋体"/>
          <w:sz w:val="21"/>
          <w:szCs w:val="21"/>
        </w:rPr>
      </w:pPr>
      <w:r>
        <w:rPr>
          <w:rFonts w:hint="eastAsia" w:ascii="宋体" w:hAnsi="宋体" w:eastAsia="宋体" w:cs="宋体"/>
          <w:sz w:val="21"/>
          <w:szCs w:val="21"/>
        </w:rPr>
        <w:t>金融资产的分类</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本公司在确定金融资产的分类时涉及的重大判断包括业务模式及合同现金流量特征的分析等。</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在金融资产组合的层次上确定管理金融资产的业务模式，考虑的因素包括评价和向关键管理人员报告金融资产业绩的方式、影响金融资产业绩的风险及其管理方式、以及相关业务管理人员获得报酬的方式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ind w:left="0" w:right="0"/>
        <w:jc w:val="both"/>
        <w:textAlignment w:val="auto"/>
        <w:rPr>
          <w:rFonts w:hint="eastAsia" w:ascii="宋体" w:hAnsi="宋体" w:cs="宋体"/>
          <w:sz w:val="21"/>
          <w:szCs w:val="21"/>
        </w:rPr>
      </w:pPr>
      <w:r>
        <w:rPr>
          <w:rFonts w:hint="eastAsia" w:ascii="宋体" w:hAnsi="宋体" w:eastAsia="宋体" w:cs="宋体"/>
          <w:sz w:val="21"/>
          <w:szCs w:val="21"/>
        </w:rPr>
        <w:t>本公司在评估金融资产的合同现金流量是否与基本借贷安排相一致时，存在以下主要判断：本金是否可能因提前还款等原因导致在存续期内的时间分布或者金额发生变动；利息是否仅包括货币时间价值、信用风险、其他基本借贷风险以及与成本和利润的对价。例如，提前偿付的金额是否仅反映了尚未支付的本金及以未偿付本金为基础的利息，以及因提前终止合同而支付的合理补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ind w:left="0" w:right="0"/>
        <w:jc w:val="both"/>
        <w:textAlignment w:val="auto"/>
        <w:rPr>
          <w:rFonts w:hint="eastAsia" w:ascii="宋体" w:hAnsi="宋体" w:cs="宋体"/>
          <w:sz w:val="21"/>
          <w:szCs w:val="21"/>
        </w:rPr>
      </w:pPr>
      <w:r>
        <w:rPr>
          <w:rFonts w:hint="eastAsia" w:ascii="宋体" w:hAnsi="宋体" w:eastAsia="宋体" w:cs="宋体"/>
          <w:sz w:val="21"/>
          <w:szCs w:val="21"/>
        </w:rPr>
        <w:t>应收账款预期信用损失的计量</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通过应收账款违约风险敞口和预期信用损失率计算应收账款预期信用损失，并基于违约概率和违约损失率确定预期信用损失率。在确定预期信用损失率时，本公司使用内部历史信用损失经验等数据，并结合当前状况和前瞻性信息对历史数据进行调整。在考虑前瞻性信息时，本公司使用的指标包括经济下滑的风险、外部市场环境、技术环境和客户情况的变化等。本公司定期监控并复核与预期信用损失计算相关的假设。</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递延所得税资产</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未上市权益投资的公允价值确定</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未上市的权益投资的公允价值是根据具有类似条款和风险特征的项目当前折现率折现的预计未来现金流量。这种估价要求本公司估计预期未来现金流量和折现率，因此具有不确定性。在有限情况下，如果用以确定公允价值的信息不足，或者公允价值的可能估计金额分布范围很广，而成本代表了该范围内对公允价值的最佳估计的，该成本可代表其在该分布范围内对公允价值的恰当估计。</w:t>
      </w:r>
    </w:p>
    <w:p>
      <w:pPr>
        <w:keepNext/>
        <w:keepLines/>
        <w:pageBreakBefore w:val="0"/>
        <w:widowControl w:val="0"/>
        <w:kinsoku/>
        <w:wordWrap/>
        <w:overflowPunct/>
        <w:topLinePunct w:val="0"/>
        <w:autoSpaceDE/>
        <w:autoSpaceDN/>
        <w:bidi w:val="0"/>
        <w:adjustRightInd w:val="0"/>
        <w:snapToGrid w:val="0"/>
        <w:spacing w:before="220" w:after="220" w:line="280" w:lineRule="exact"/>
        <w:jc w:val="left"/>
        <w:textAlignment w:val="auto"/>
        <w:outlineLvl w:val="2"/>
        <w:rPr>
          <w:rFonts w:ascii="宋体" w:hAnsi="宋体" w:eastAsia="宋体" w:cs="宋体"/>
          <w:b/>
          <w:bCs/>
          <w:sz w:val="21"/>
          <w:szCs w:val="21"/>
        </w:rPr>
      </w:pPr>
      <w:bookmarkStart w:id="199" w:name="_Toc989087"/>
      <w:r>
        <w:rPr>
          <w:rFonts w:ascii="宋体" w:hAnsi="宋体" w:eastAsia="宋体" w:cs="宋体"/>
          <w:b/>
          <w:bCs/>
          <w:sz w:val="21"/>
          <w:szCs w:val="21"/>
        </w:rPr>
        <w:t>28、重要会计政策和会计估计变更</w:t>
      </w:r>
      <w:bookmarkEnd w:id="199"/>
    </w:p>
    <w:p>
      <w:pPr>
        <w:keepNext/>
        <w:keepLines/>
        <w:pageBreakBefore w:val="0"/>
        <w:widowControl w:val="0"/>
        <w:kinsoku/>
        <w:wordWrap/>
        <w:overflowPunct/>
        <w:topLinePunct w:val="0"/>
        <w:autoSpaceDE/>
        <w:autoSpaceDN/>
        <w:bidi w:val="0"/>
        <w:adjustRightInd w:val="0"/>
        <w:snapToGrid w:val="0"/>
        <w:spacing w:before="220" w:after="220" w:line="280" w:lineRule="exact"/>
        <w:jc w:val="left"/>
        <w:textAlignment w:val="auto"/>
        <w:outlineLvl w:val="3"/>
        <w:rPr>
          <w:rFonts w:ascii="宋体" w:hAnsi="宋体" w:eastAsia="宋体" w:cs="宋体"/>
          <w:b/>
          <w:bCs/>
          <w:sz w:val="18"/>
          <w:szCs w:val="18"/>
        </w:rPr>
      </w:pPr>
      <w:bookmarkStart w:id="200" w:name="_Toc989088"/>
      <w:r>
        <w:rPr>
          <w:rFonts w:ascii="宋体" w:hAnsi="宋体" w:eastAsia="宋体" w:cs="宋体"/>
          <w:b/>
          <w:bCs/>
          <w:sz w:val="18"/>
          <w:szCs w:val="18"/>
        </w:rPr>
        <w:t>（1） 重要会计政策变更</w:t>
      </w:r>
      <w:bookmarkEnd w:id="20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5"/>
        <w:keepNext w:val="0"/>
        <w:keepLines w:val="0"/>
        <w:pageBreakBefore w:val="0"/>
        <w:widowControl/>
        <w:suppressLineNumbers w:val="0"/>
        <w:kinsoku/>
        <w:wordWrap/>
        <w:overflowPunct/>
        <w:topLinePunct w:val="0"/>
        <w:autoSpaceDE/>
        <w:autoSpaceDN/>
        <w:bidi w:val="0"/>
        <w:adjustRightInd/>
        <w:snapToGrid/>
        <w:spacing w:before="120" w:beforeAutospacing="0" w:after="140" w:afterAutospacing="0"/>
        <w:ind w:left="595" w:hanging="397"/>
        <w:jc w:val="both"/>
        <w:textAlignment w:val="auto"/>
        <w:rPr>
          <w:rFonts w:ascii="宋体" w:hAnsi="宋体" w:eastAsia="宋体" w:cs="宋体"/>
          <w:sz w:val="21"/>
          <w:szCs w:val="21"/>
        </w:rPr>
      </w:pPr>
      <w:r>
        <w:rPr>
          <w:rFonts w:ascii="宋体" w:hAnsi="宋体" w:eastAsia="宋体" w:cs="宋体"/>
          <w:sz w:val="21"/>
          <w:szCs w:val="21"/>
        </w:rPr>
        <w:t>企业会计准则解释第</w:t>
      </w:r>
      <w:r>
        <w:rPr>
          <w:rFonts w:hint="eastAsia" w:ascii="宋体" w:hAnsi="宋体" w:eastAsia="宋体" w:cs="宋体"/>
          <w:sz w:val="21"/>
          <w:szCs w:val="21"/>
        </w:rPr>
        <w:t>16号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ind w:left="0" w:right="0"/>
        <w:jc w:val="both"/>
        <w:textAlignment w:val="auto"/>
        <w:rPr>
          <w:rFonts w:hint="eastAsia" w:ascii="宋体" w:hAnsi="宋体" w:cs="宋体"/>
          <w:sz w:val="21"/>
          <w:szCs w:val="21"/>
        </w:rPr>
      </w:pPr>
      <w:r>
        <w:rPr>
          <w:rFonts w:hint="eastAsia" w:ascii="宋体" w:hAnsi="宋体" w:eastAsia="宋体" w:cs="宋体"/>
          <w:color w:val="000000"/>
          <w:sz w:val="21"/>
          <w:szCs w:val="21"/>
        </w:rPr>
        <w:t>财政部于2022年11月发布了《企业会计准则解释第16号》（财会〔2022〕31号）（以下简称“解释第16号”）。</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解释第16号规定，对于不是企业合并、交易发生时既不影响会计利润也不影响应纳税所得额（或可抵扣亏损）、且初始确认的资产和负债导致产生等额应纳税暂时性差异和可抵扣暂时性差异的单项交易，因资产和负债的初始确认所产生的应纳税暂时性差异和可抵扣暂时性差异，应当根据《企业会计准则第18号——所得税》等有关规定，在交易发生时分别确认相应的递延所得税负债和递延所得税资产。对于在首次施行上述规定的财务报表列报最早期间的期初至本解释施行日之间发生的上述交易，企业应当按照上述规定，将累积影</w:t>
      </w:r>
      <w:r>
        <w:rPr>
          <w:rFonts w:hint="eastAsia" w:ascii="宋体" w:hAnsi="宋体" w:eastAsia="宋体" w:cs="宋体"/>
          <w:sz w:val="21"/>
          <w:szCs w:val="21"/>
        </w:rPr>
        <w:t>响数调整财务报表列报最早期间的期初留存收益及其他相关财务报表项目。上述会计处理规定自2023年1月1日起施行。</w:t>
      </w:r>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本公司对租赁业务确认的租赁负债和使用权资产，产生应纳税暂时性差异和可抵扣暂时性差异的，按照解释第16号的规定进行调整。</w:t>
      </w:r>
    </w:p>
    <w:p>
      <w:pPr>
        <w:pStyle w:val="8"/>
        <w:keepNext w:val="0"/>
        <w:keepLines w:val="0"/>
        <w:widowControl/>
        <w:suppressLineNumbers w:val="0"/>
        <w:spacing w:before="120" w:beforeAutospacing="0" w:after="216"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执行上述会计政策对2023年12月31日合并资产负债表和2023年度合并利润表的影响如下：</w:t>
      </w:r>
    </w:p>
    <w:tbl>
      <w:tblPr>
        <w:tblStyle w:val="9"/>
        <w:tblW w:w="472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12"/>
        <w:gridCol w:w="5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14"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sz w:val="21"/>
                <w:szCs w:val="21"/>
              </w:rPr>
              <w:t>合并资产负债表项目（</w:t>
            </w:r>
            <w:r>
              <w:rPr>
                <w:rFonts w:hint="eastAsia" w:ascii="宋体" w:hAnsi="宋体" w:eastAsia="宋体" w:cs="宋体"/>
                <w:sz w:val="21"/>
                <w:szCs w:val="21"/>
              </w:rPr>
              <w:t>2023年12月31日</w:t>
            </w:r>
            <w:r>
              <w:rPr>
                <w:rStyle w:val="11"/>
                <w:rFonts w:hint="eastAsia" w:ascii="宋体" w:hAnsi="宋体" w:eastAsia="宋体" w:cs="宋体"/>
                <w:sz w:val="21"/>
                <w:szCs w:val="21"/>
              </w:rPr>
              <w:t>）</w:t>
            </w:r>
          </w:p>
        </w:tc>
        <w:tc>
          <w:tcPr>
            <w:tcW w:w="26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11"/>
                <w:rFonts w:hint="eastAsia" w:ascii="宋体" w:hAnsi="宋体" w:eastAsia="宋体" w:cs="宋体"/>
                <w:sz w:val="21"/>
                <w:szCs w:val="21"/>
              </w:rPr>
              <w:t>影响金额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314"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递延所得税资产</w:t>
            </w:r>
          </w:p>
        </w:tc>
        <w:tc>
          <w:tcPr>
            <w:tcW w:w="26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sz w:val="21"/>
                <w:szCs w:val="21"/>
              </w:rPr>
              <w:t>19,917,904.83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314"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递延所得税负债</w:t>
            </w:r>
          </w:p>
        </w:tc>
        <w:tc>
          <w:tcPr>
            <w:tcW w:w="26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sz w:val="21"/>
                <w:szCs w:val="21"/>
              </w:rPr>
              <w:t xml:space="preserve"> 18,633,299.90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314"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21"/>
                <w:szCs w:val="21"/>
              </w:rPr>
              <w:t>未分配利润</w:t>
            </w:r>
          </w:p>
        </w:tc>
        <w:tc>
          <w:tcPr>
            <w:tcW w:w="26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1,284,604.93</w:t>
            </w:r>
          </w:p>
        </w:tc>
      </w:tr>
    </w:tbl>
    <w:p>
      <w:pPr>
        <w:pStyle w:val="8"/>
        <w:keepNext w:val="0"/>
        <w:keepLines w:val="0"/>
        <w:widowControl/>
        <w:suppressLineNumbers w:val="0"/>
        <w:spacing w:before="0" w:beforeAutospacing="0" w:after="216" w:afterAutospacing="0"/>
        <w:ind w:left="0" w:right="0"/>
        <w:jc w:val="both"/>
        <w:rPr>
          <w:rFonts w:hint="default" w:ascii="Times New Roman" w:hAnsi="Times New Roman" w:cs="Times New Roman"/>
          <w:sz w:val="21"/>
          <w:szCs w:val="21"/>
        </w:rPr>
      </w:pPr>
      <w:r>
        <w:rPr>
          <w:rFonts w:hint="default" w:ascii="Arial Narrow" w:hAnsi="Arial Narrow" w:eastAsia="Arial Narrow" w:cs="Arial Narrow"/>
          <w:color w:val="FF0000"/>
          <w:sz w:val="24"/>
          <w:szCs w:val="24"/>
        </w:rPr>
        <w:t> </w:t>
      </w:r>
    </w:p>
    <w:tbl>
      <w:tblPr>
        <w:tblStyle w:val="9"/>
        <w:tblW w:w="474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39"/>
        <w:gridCol w:w="4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5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Style w:val="11"/>
                <w:rFonts w:hint="eastAsia" w:ascii="宋体" w:hAnsi="宋体" w:eastAsia="宋体" w:cs="宋体"/>
                <w:sz w:val="21"/>
                <w:szCs w:val="21"/>
              </w:rPr>
              <w:t>合并利润表项目</w:t>
            </w:r>
            <w:r>
              <w:rPr>
                <w:rFonts w:hint="eastAsia" w:ascii="宋体" w:hAnsi="宋体" w:eastAsia="宋体" w:cs="宋体"/>
                <w:sz w:val="21"/>
                <w:szCs w:val="21"/>
              </w:rPr>
              <w:t>（2023年度）</w:t>
            </w:r>
          </w:p>
        </w:tc>
        <w:tc>
          <w:tcPr>
            <w:tcW w:w="241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11"/>
                <w:rFonts w:hint="eastAsia" w:ascii="宋体" w:hAnsi="宋体" w:eastAsia="宋体" w:cs="宋体"/>
                <w:sz w:val="21"/>
                <w:szCs w:val="21"/>
              </w:rPr>
              <w:t>影响金额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5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所得税费用</w:t>
            </w:r>
          </w:p>
        </w:tc>
        <w:tc>
          <w:tcPr>
            <w:tcW w:w="241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-1,275,800.53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5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净利润</w:t>
            </w:r>
          </w:p>
        </w:tc>
        <w:tc>
          <w:tcPr>
            <w:tcW w:w="241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1,275,800.53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5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其中：归属于母公司股东权益</w:t>
            </w:r>
          </w:p>
        </w:tc>
        <w:tc>
          <w:tcPr>
            <w:tcW w:w="241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1,275,800.53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25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       少数股权权益</w:t>
            </w:r>
          </w:p>
        </w:tc>
        <w:tc>
          <w:tcPr>
            <w:tcW w:w="241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Arial Narrow" w:hAnsi="Arial Narrow" w:eastAsia="Arial Narrow" w:cs="Arial Narrow"/>
                <w:color w:val="000000"/>
                <w:sz w:val="21"/>
                <w:szCs w:val="21"/>
              </w:rPr>
              <w:t xml:space="preserve">- </w:t>
            </w:r>
          </w:p>
        </w:tc>
      </w:tr>
    </w:tbl>
    <w:p>
      <w:pPr>
        <w:pStyle w:val="8"/>
        <w:keepNext w:val="0"/>
        <w:keepLines w:val="0"/>
        <w:widowControl/>
        <w:suppressLineNumbers w:val="0"/>
        <w:spacing w:before="120" w:beforeAutospacing="0" w:after="216"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执行上述会计政策对2022年12月31日合并资产负债表和2022年度合并利润表的影响如下：</w:t>
      </w:r>
    </w:p>
    <w:tbl>
      <w:tblPr>
        <w:tblStyle w:val="9"/>
        <w:tblW w:w="481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190"/>
        <w:gridCol w:w="1765"/>
        <w:gridCol w:w="1573"/>
        <w:gridCol w:w="19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206"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jc w:val="left"/>
              <w:rPr>
                <w:rFonts w:hint="eastAsia" w:ascii="宋体" w:hAnsi="宋体" w:cs="宋体"/>
              </w:rPr>
            </w:pPr>
            <w:r>
              <w:rPr>
                <w:rStyle w:val="11"/>
                <w:rFonts w:hint="eastAsia" w:ascii="宋体" w:hAnsi="宋体" w:eastAsia="宋体" w:cs="宋体"/>
                <w:sz w:val="21"/>
                <w:szCs w:val="21"/>
              </w:rPr>
              <w:t>合并资产负债表项目</w:t>
            </w:r>
            <w:r>
              <w:rPr>
                <w:rStyle w:val="11"/>
                <w:rFonts w:hint="eastAsia" w:ascii="宋体" w:hAnsi="宋体" w:eastAsia="宋体" w:cs="宋体"/>
                <w:b w:val="0"/>
                <w:bCs/>
                <w:sz w:val="21"/>
                <w:szCs w:val="21"/>
              </w:rPr>
              <w:t>（2022年12月31日）</w:t>
            </w:r>
          </w:p>
        </w:tc>
        <w:tc>
          <w:tcPr>
            <w:tcW w:w="92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napToGrid w:val="0"/>
              <w:spacing w:before="0" w:beforeAutospacing="1" w:after="0" w:afterAutospacing="1"/>
              <w:ind w:left="0" w:right="0" w:firstLine="0"/>
              <w:jc w:val="right"/>
              <w:rPr>
                <w:rFonts w:hint="eastAsia" w:ascii="宋体" w:hAnsi="宋体" w:cs="宋体"/>
              </w:rPr>
            </w:pPr>
            <w:r>
              <w:rPr>
                <w:rStyle w:val="11"/>
                <w:rFonts w:hint="eastAsia" w:ascii="宋体" w:hAnsi="宋体" w:eastAsia="宋体" w:cs="宋体"/>
                <w:sz w:val="21"/>
                <w:szCs w:val="21"/>
              </w:rPr>
              <w:t>调整前</w:t>
            </w:r>
          </w:p>
        </w:tc>
        <w:tc>
          <w:tcPr>
            <w:tcW w:w="828"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napToGrid w:val="0"/>
              <w:spacing w:before="0" w:beforeAutospacing="1" w:after="0" w:afterAutospacing="1"/>
              <w:ind w:left="0" w:right="0" w:firstLine="0"/>
              <w:jc w:val="right"/>
              <w:rPr>
                <w:rFonts w:hint="eastAsia" w:ascii="宋体" w:hAnsi="宋体" w:cs="宋体"/>
              </w:rPr>
            </w:pPr>
            <w:r>
              <w:rPr>
                <w:rStyle w:val="11"/>
                <w:rFonts w:hint="eastAsia" w:ascii="宋体" w:hAnsi="宋体" w:eastAsia="宋体" w:cs="宋体"/>
                <w:sz w:val="21"/>
                <w:szCs w:val="21"/>
              </w:rPr>
              <w:t>调整金额</w:t>
            </w:r>
          </w:p>
        </w:tc>
        <w:tc>
          <w:tcPr>
            <w:tcW w:w="103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422"/>
              <w:jc w:val="right"/>
              <w:rPr>
                <w:rFonts w:hint="eastAsia" w:ascii="宋体" w:hAnsi="宋体" w:cs="宋体"/>
              </w:rPr>
            </w:pPr>
            <w:r>
              <w:rPr>
                <w:rStyle w:val="11"/>
                <w:rFonts w:hint="eastAsia" w:ascii="宋体" w:hAnsi="宋体" w:eastAsia="宋体" w:cs="宋体"/>
                <w:sz w:val="21"/>
                <w:szCs w:val="21"/>
              </w:rPr>
              <w:t>调整后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206"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递延所得税资产</w:t>
            </w:r>
          </w:p>
        </w:tc>
        <w:tc>
          <w:tcPr>
            <w:tcW w:w="92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8,518,233.77</w:t>
            </w:r>
          </w:p>
        </w:tc>
        <w:tc>
          <w:tcPr>
            <w:tcW w:w="828"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126,841.83</w:t>
            </w:r>
          </w:p>
        </w:tc>
        <w:tc>
          <w:tcPr>
            <w:tcW w:w="103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8,645,075.60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206"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递延所得税负债</w:t>
            </w:r>
          </w:p>
        </w:tc>
        <w:tc>
          <w:tcPr>
            <w:tcW w:w="92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1,135,031.11</w:t>
            </w:r>
          </w:p>
        </w:tc>
        <w:tc>
          <w:tcPr>
            <w:tcW w:w="828"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118,037.43</w:t>
            </w:r>
          </w:p>
        </w:tc>
        <w:tc>
          <w:tcPr>
            <w:tcW w:w="103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1,253,068.54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206"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未分配利润</w:t>
            </w:r>
          </w:p>
        </w:tc>
        <w:tc>
          <w:tcPr>
            <w:tcW w:w="92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kern w:val="0"/>
                <w:sz w:val="21"/>
                <w:szCs w:val="21"/>
                <w:lang w:bidi="ar"/>
              </w:rPr>
              <w:t>590,605,394.67</w:t>
            </w:r>
          </w:p>
        </w:tc>
        <w:tc>
          <w:tcPr>
            <w:tcW w:w="828"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8,804.40</w:t>
            </w:r>
          </w:p>
        </w:tc>
        <w:tc>
          <w:tcPr>
            <w:tcW w:w="103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kern w:val="0"/>
                <w:sz w:val="21"/>
                <w:szCs w:val="21"/>
                <w:lang w:bidi="ar"/>
              </w:rPr>
              <w:t>590,614,199.07</w:t>
            </w:r>
          </w:p>
        </w:tc>
      </w:tr>
    </w:tbl>
    <w:p>
      <w:pPr>
        <w:pStyle w:val="8"/>
        <w:keepNext w:val="0"/>
        <w:keepLines w:val="0"/>
        <w:widowControl/>
        <w:suppressLineNumbers w:val="0"/>
        <w:spacing w:before="120" w:beforeAutospacing="0" w:after="216" w:afterAutospacing="0"/>
        <w:ind w:left="0" w:right="0"/>
        <w:jc w:val="both"/>
        <w:rPr>
          <w:rStyle w:val="11"/>
          <w:rFonts w:hint="default" w:ascii="仿宋_GB2312" w:hAnsi="Times New Roman" w:eastAsia="仿宋_GB2312" w:cs="仿宋_GB2312"/>
          <w:color w:val="auto"/>
          <w:sz w:val="24"/>
          <w:szCs w:val="24"/>
        </w:rPr>
      </w:pPr>
    </w:p>
    <w:tbl>
      <w:tblPr>
        <w:tblStyle w:val="9"/>
        <w:tblW w:w="483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141"/>
        <w:gridCol w:w="2180"/>
        <w:gridCol w:w="1524"/>
        <w:gridCol w:w="1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17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0"/>
              <w:rPr>
                <w:rFonts w:hint="eastAsia" w:ascii="宋体" w:hAnsi="宋体" w:cs="宋体"/>
                <w:color w:val="auto"/>
              </w:rPr>
            </w:pPr>
            <w:r>
              <w:rPr>
                <w:rStyle w:val="11"/>
                <w:rFonts w:hint="eastAsia" w:ascii="宋体" w:hAnsi="宋体" w:eastAsia="宋体" w:cs="宋体"/>
                <w:color w:val="auto"/>
                <w:sz w:val="21"/>
                <w:szCs w:val="21"/>
              </w:rPr>
              <w:t>合并利润表项目</w:t>
            </w:r>
            <w:r>
              <w:rPr>
                <w:rStyle w:val="11"/>
                <w:rFonts w:hint="eastAsia" w:ascii="宋体" w:hAnsi="宋体" w:eastAsia="宋体" w:cs="宋体"/>
                <w:b w:val="0"/>
                <w:bCs/>
                <w:color w:val="auto"/>
                <w:sz w:val="21"/>
                <w:szCs w:val="21"/>
              </w:rPr>
              <w:t>（2022年度）</w:t>
            </w:r>
          </w:p>
        </w:tc>
        <w:tc>
          <w:tcPr>
            <w:tcW w:w="1143"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napToGrid w:val="0"/>
              <w:spacing w:before="0" w:beforeAutospacing="1" w:after="0" w:afterAutospacing="1"/>
              <w:ind w:left="0" w:right="0" w:firstLine="0"/>
              <w:jc w:val="right"/>
              <w:rPr>
                <w:rFonts w:hint="eastAsia" w:ascii="宋体" w:hAnsi="宋体" w:cs="宋体"/>
                <w:color w:val="auto"/>
              </w:rPr>
            </w:pPr>
            <w:r>
              <w:rPr>
                <w:rStyle w:val="11"/>
                <w:rFonts w:hint="eastAsia" w:ascii="宋体" w:hAnsi="宋体" w:eastAsia="宋体" w:cs="宋体"/>
                <w:color w:val="auto"/>
                <w:sz w:val="21"/>
                <w:szCs w:val="21"/>
              </w:rPr>
              <w:t>调整前</w:t>
            </w:r>
          </w:p>
        </w:tc>
        <w:tc>
          <w:tcPr>
            <w:tcW w:w="79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napToGrid w:val="0"/>
              <w:spacing w:before="0" w:beforeAutospacing="1" w:after="0" w:afterAutospacing="1"/>
              <w:ind w:left="0" w:right="0" w:firstLine="0"/>
              <w:jc w:val="right"/>
              <w:rPr>
                <w:rFonts w:hint="eastAsia" w:ascii="宋体" w:hAnsi="宋体" w:cs="宋体"/>
                <w:color w:val="auto"/>
              </w:rPr>
            </w:pPr>
            <w:r>
              <w:rPr>
                <w:rStyle w:val="11"/>
                <w:rFonts w:hint="eastAsia" w:ascii="宋体" w:hAnsi="宋体" w:eastAsia="宋体" w:cs="宋体"/>
                <w:color w:val="auto"/>
                <w:sz w:val="21"/>
                <w:szCs w:val="21"/>
              </w:rPr>
              <w:t>调整金额</w:t>
            </w:r>
          </w:p>
        </w:tc>
        <w:tc>
          <w:tcPr>
            <w:tcW w:w="8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1" w:after="0" w:afterAutospacing="1"/>
              <w:ind w:left="0" w:right="0" w:firstLine="422"/>
              <w:jc w:val="right"/>
              <w:rPr>
                <w:rFonts w:hint="eastAsia" w:ascii="宋体" w:hAnsi="宋体" w:cs="宋体"/>
                <w:color w:val="auto"/>
              </w:rPr>
            </w:pPr>
            <w:r>
              <w:rPr>
                <w:rStyle w:val="11"/>
                <w:rFonts w:hint="eastAsia" w:ascii="宋体" w:hAnsi="宋体" w:eastAsia="宋体" w:cs="宋体"/>
                <w:color w:val="auto"/>
                <w:sz w:val="21"/>
                <w:szCs w:val="21"/>
              </w:rPr>
              <w:t>调整后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17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color w:val="auto"/>
                <w:sz w:val="21"/>
                <w:szCs w:val="21"/>
              </w:rPr>
            </w:pPr>
            <w:r>
              <w:rPr>
                <w:rFonts w:hint="eastAsia" w:ascii="宋体" w:hAnsi="宋体" w:eastAsia="宋体" w:cs="宋体"/>
                <w:color w:val="auto"/>
                <w:sz w:val="21"/>
                <w:szCs w:val="21"/>
              </w:rPr>
              <w:t>所得税费用</w:t>
            </w:r>
          </w:p>
        </w:tc>
        <w:tc>
          <w:tcPr>
            <w:tcW w:w="1143"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color w:val="auto"/>
                <w:sz w:val="21"/>
                <w:szCs w:val="21"/>
              </w:rPr>
              <w:t>21,523,196.08</w:t>
            </w:r>
          </w:p>
        </w:tc>
        <w:tc>
          <w:tcPr>
            <w:tcW w:w="79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sz w:val="21"/>
                <w:szCs w:val="21"/>
              </w:rPr>
              <w:t>11,430.83</w:t>
            </w:r>
          </w:p>
        </w:tc>
        <w:tc>
          <w:tcPr>
            <w:tcW w:w="8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sz w:val="21"/>
                <w:szCs w:val="21"/>
              </w:rPr>
              <w:t>21,511,765.25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17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color w:val="auto"/>
                <w:sz w:val="21"/>
                <w:szCs w:val="21"/>
              </w:rPr>
            </w:pPr>
            <w:r>
              <w:rPr>
                <w:rFonts w:hint="eastAsia" w:ascii="宋体" w:hAnsi="宋体" w:eastAsia="宋体" w:cs="宋体"/>
                <w:color w:val="auto"/>
                <w:sz w:val="21"/>
                <w:szCs w:val="21"/>
              </w:rPr>
              <w:t>归属于母公司股东的净利润</w:t>
            </w:r>
          </w:p>
        </w:tc>
        <w:tc>
          <w:tcPr>
            <w:tcW w:w="1143"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color w:val="auto"/>
                <w:sz w:val="21"/>
                <w:szCs w:val="21"/>
              </w:rPr>
              <w:t>83,496,135.61</w:t>
            </w:r>
          </w:p>
        </w:tc>
        <w:tc>
          <w:tcPr>
            <w:tcW w:w="79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sz w:val="21"/>
                <w:szCs w:val="21"/>
              </w:rPr>
              <w:t>11,430.83</w:t>
            </w:r>
          </w:p>
        </w:tc>
        <w:tc>
          <w:tcPr>
            <w:tcW w:w="885"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color w:val="auto"/>
                <w:sz w:val="21"/>
                <w:szCs w:val="21"/>
              </w:rPr>
            </w:pPr>
            <w:r>
              <w:rPr>
                <w:rFonts w:hint="eastAsia" w:ascii="宋体" w:hAnsi="宋体" w:eastAsia="宋体" w:cs="宋体"/>
                <w:color w:val="auto"/>
                <w:sz w:val="21"/>
                <w:szCs w:val="21"/>
              </w:rPr>
              <w:t>83,507,566.44</w:t>
            </w:r>
          </w:p>
        </w:tc>
      </w:tr>
    </w:tbl>
    <w:p>
      <w:pPr>
        <w:adjustRightInd w:val="0"/>
        <w:snapToGrid w:val="0"/>
        <w:spacing w:before="120" w:beforeLines="50" w:after="216" w:afterLines="90"/>
        <w:ind w:left="0" w:leftChars="0" w:firstLine="0" w:firstLineChars="0"/>
        <w:rPr>
          <w:rFonts w:hint="eastAsia" w:ascii="宋体" w:hAnsi="宋体" w:cs="宋体"/>
          <w:color w:val="auto"/>
          <w:szCs w:val="21"/>
        </w:rPr>
      </w:pPr>
      <w:bookmarkStart w:id="201" w:name="_Toc989089"/>
      <w:r>
        <w:rPr>
          <w:rFonts w:hint="eastAsia" w:ascii="宋体" w:hAnsi="宋体" w:eastAsia="宋体" w:cs="宋体"/>
          <w:color w:val="auto"/>
          <w:sz w:val="21"/>
          <w:szCs w:val="21"/>
        </w:rPr>
        <w:t>执行上述会计政策对2022年1月1日合并资产负债表的影响如下：</w:t>
      </w:r>
    </w:p>
    <w:tbl>
      <w:tblPr>
        <w:tblStyle w:val="9"/>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1758"/>
        <w:gridCol w:w="2248"/>
        <w:gridCol w:w="281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tblHeader/>
          <w:jc w:val="center"/>
        </w:trPr>
        <w:tc>
          <w:tcPr>
            <w:tcW w:w="1541" w:type="pct"/>
            <w:tcBorders>
              <w:top w:val="single" w:color="auto" w:sz="4" w:space="0"/>
              <w:left w:val="single" w:color="auto" w:sz="4" w:space="0"/>
              <w:bottom w:val="single" w:color="auto" w:sz="4" w:space="0"/>
              <w:right w:val="single" w:color="auto" w:sz="4" w:space="0"/>
            </w:tcBorders>
            <w:vAlign w:val="center"/>
          </w:tcPr>
          <w:p>
            <w:pPr>
              <w:pStyle w:val="14"/>
              <w:spacing w:line="240" w:lineRule="auto"/>
              <w:ind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rPr>
              <w:t>合并资产负债表项目</w:t>
            </w:r>
          </w:p>
        </w:tc>
        <w:tc>
          <w:tcPr>
            <w:tcW w:w="892" w:type="pct"/>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240" w:lineRule="auto"/>
              <w:ind w:firstLine="0" w:firstLineChars="0"/>
              <w:jc w:val="right"/>
              <w:rPr>
                <w:rFonts w:hint="eastAsia" w:ascii="宋体" w:hAnsi="宋体" w:eastAsia="宋体" w:cs="宋体"/>
                <w:b/>
                <w:color w:val="auto"/>
                <w:sz w:val="21"/>
                <w:szCs w:val="21"/>
              </w:rPr>
            </w:pPr>
            <w:r>
              <w:rPr>
                <w:rFonts w:hint="eastAsia" w:ascii="宋体" w:hAnsi="宋体" w:eastAsia="宋体" w:cs="宋体"/>
                <w:b/>
                <w:color w:val="auto"/>
                <w:sz w:val="21"/>
                <w:szCs w:val="21"/>
              </w:rPr>
              <w:t>调整前</w:t>
            </w:r>
          </w:p>
        </w:tc>
        <w:tc>
          <w:tcPr>
            <w:tcW w:w="1141" w:type="pct"/>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240" w:lineRule="auto"/>
              <w:ind w:firstLine="0" w:firstLineChars="0"/>
              <w:jc w:val="right"/>
              <w:rPr>
                <w:rFonts w:hint="eastAsia" w:ascii="宋体" w:hAnsi="宋体" w:eastAsia="宋体" w:cs="宋体"/>
                <w:b/>
                <w:color w:val="auto"/>
                <w:sz w:val="21"/>
                <w:szCs w:val="21"/>
              </w:rPr>
            </w:pPr>
            <w:r>
              <w:rPr>
                <w:rFonts w:hint="eastAsia" w:ascii="宋体" w:hAnsi="宋体" w:eastAsia="宋体" w:cs="宋体"/>
                <w:b/>
                <w:color w:val="auto"/>
                <w:sz w:val="21"/>
                <w:szCs w:val="21"/>
              </w:rPr>
              <w:t>调整金额</w:t>
            </w:r>
          </w:p>
        </w:tc>
        <w:tc>
          <w:tcPr>
            <w:tcW w:w="1426" w:type="pct"/>
            <w:tcBorders>
              <w:top w:val="single" w:color="auto" w:sz="4" w:space="0"/>
              <w:left w:val="single" w:color="auto" w:sz="4" w:space="0"/>
              <w:bottom w:val="single" w:color="auto" w:sz="4" w:space="0"/>
              <w:right w:val="single" w:color="auto" w:sz="4" w:space="0"/>
            </w:tcBorders>
            <w:vAlign w:val="center"/>
          </w:tcPr>
          <w:p>
            <w:pPr>
              <w:pStyle w:val="14"/>
              <w:spacing w:line="240" w:lineRule="auto"/>
              <w:ind w:firstLine="422"/>
              <w:jc w:val="right"/>
              <w:rPr>
                <w:rFonts w:hint="eastAsia" w:ascii="宋体" w:hAnsi="宋体" w:eastAsia="宋体" w:cs="宋体"/>
                <w:b/>
                <w:color w:val="auto"/>
                <w:sz w:val="21"/>
                <w:szCs w:val="21"/>
              </w:rPr>
            </w:pPr>
            <w:r>
              <w:rPr>
                <w:rFonts w:hint="eastAsia" w:ascii="宋体" w:hAnsi="宋体" w:eastAsia="宋体" w:cs="宋体"/>
                <w:b/>
                <w:color w:val="auto"/>
                <w:sz w:val="21"/>
                <w:szCs w:val="21"/>
              </w:rPr>
              <w:t>调整后</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eastAsia="宋体" w:cs="宋体"/>
                <w:color w:val="auto"/>
                <w:szCs w:val="21"/>
              </w:rPr>
            </w:pPr>
            <w:r>
              <w:rPr>
                <w:rFonts w:hint="eastAsia" w:ascii="宋体" w:hAnsi="宋体" w:eastAsia="宋体" w:cs="宋体"/>
                <w:color w:val="auto"/>
                <w:szCs w:val="21"/>
              </w:rPr>
              <w:t>递延所得税资产</w:t>
            </w:r>
          </w:p>
        </w:tc>
        <w:tc>
          <w:tcPr>
            <w:tcW w:w="1758" w:type="dxa"/>
            <w:tcBorders>
              <w:top w:val="single" w:color="auto" w:sz="4" w:space="0"/>
              <w:left w:val="single" w:color="auto" w:sz="4" w:space="0"/>
              <w:bottom w:val="single" w:color="auto" w:sz="4" w:space="0"/>
              <w:right w:val="single" w:color="auto" w:sz="4" w:space="0"/>
            </w:tcBorders>
            <w:vAlign w:val="center"/>
          </w:tcPr>
          <w:p>
            <w:pPr>
              <w:snapToGrid w:val="0"/>
              <w:jc w:val="right"/>
              <w:rPr>
                <w:rFonts w:hint="eastAsia" w:ascii="宋体" w:hAnsi="宋体" w:eastAsia="宋体" w:cs="宋体"/>
                <w:color w:val="auto"/>
                <w:szCs w:val="21"/>
              </w:rPr>
            </w:pPr>
            <w:r>
              <w:rPr>
                <w:rFonts w:hint="eastAsia" w:ascii="宋体" w:hAnsi="宋体" w:eastAsia="宋体" w:cs="宋体"/>
                <w:color w:val="auto"/>
                <w:szCs w:val="21"/>
              </w:rPr>
              <w:t>8,499,551.03</w:t>
            </w:r>
          </w:p>
        </w:tc>
        <w:tc>
          <w:tcPr>
            <w:tcW w:w="224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auto"/>
                <w:szCs w:val="21"/>
              </w:rPr>
            </w:pPr>
            <w:r>
              <w:rPr>
                <w:rFonts w:hint="eastAsia" w:ascii="宋体" w:hAnsi="宋体" w:eastAsia="宋体" w:cs="宋体"/>
                <w:color w:val="auto"/>
                <w:szCs w:val="21"/>
              </w:rPr>
              <w:t>461,922.89</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8,961,473.92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eastAsia="宋体" w:cs="宋体"/>
                <w:color w:val="auto"/>
                <w:szCs w:val="21"/>
              </w:rPr>
            </w:pPr>
            <w:r>
              <w:rPr>
                <w:rFonts w:hint="eastAsia" w:ascii="宋体" w:hAnsi="宋体" w:eastAsia="宋体" w:cs="宋体"/>
                <w:color w:val="auto"/>
                <w:szCs w:val="21"/>
              </w:rPr>
              <w:t>递延所得税负债</w:t>
            </w:r>
          </w:p>
        </w:tc>
        <w:tc>
          <w:tcPr>
            <w:tcW w:w="1758" w:type="dxa"/>
            <w:tcBorders>
              <w:top w:val="single" w:color="auto" w:sz="4" w:space="0"/>
              <w:left w:val="single" w:color="auto" w:sz="4" w:space="0"/>
              <w:bottom w:val="single" w:color="auto" w:sz="4" w:space="0"/>
              <w:right w:val="single" w:color="auto" w:sz="4" w:space="0"/>
            </w:tcBorders>
            <w:vAlign w:val="center"/>
          </w:tcPr>
          <w:p>
            <w:pPr>
              <w:snapToGrid w:val="0"/>
              <w:jc w:val="right"/>
              <w:rPr>
                <w:rFonts w:hint="eastAsia" w:ascii="宋体" w:hAnsi="宋体" w:eastAsia="宋体" w:cs="宋体"/>
                <w:color w:val="auto"/>
                <w:szCs w:val="21"/>
              </w:rPr>
            </w:pPr>
            <w:r>
              <w:rPr>
                <w:rFonts w:hint="eastAsia" w:ascii="宋体" w:hAnsi="宋体" w:eastAsia="宋体" w:cs="宋体"/>
                <w:color w:val="auto"/>
                <w:szCs w:val="21"/>
              </w:rPr>
              <w:t>963,045.49</w:t>
            </w:r>
          </w:p>
        </w:tc>
        <w:tc>
          <w:tcPr>
            <w:tcW w:w="224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auto"/>
                <w:szCs w:val="21"/>
              </w:rPr>
            </w:pPr>
            <w:r>
              <w:rPr>
                <w:rFonts w:hint="eastAsia" w:ascii="宋体" w:hAnsi="宋体" w:eastAsia="宋体" w:cs="宋体"/>
                <w:color w:val="auto"/>
                <w:szCs w:val="21"/>
              </w:rPr>
              <w:t>464,549.32</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1,427,594.81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303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Cs w:val="21"/>
              </w:rPr>
            </w:pPr>
            <w:r>
              <w:rPr>
                <w:rFonts w:hint="eastAsia" w:ascii="宋体" w:hAnsi="宋体" w:eastAsia="宋体" w:cs="宋体"/>
                <w:color w:val="auto"/>
                <w:szCs w:val="21"/>
              </w:rPr>
              <w:t>未分配利润</w:t>
            </w:r>
          </w:p>
        </w:tc>
        <w:tc>
          <w:tcPr>
            <w:tcW w:w="1758" w:type="dxa"/>
            <w:tcBorders>
              <w:top w:val="single" w:color="auto" w:sz="4" w:space="0"/>
              <w:left w:val="single" w:color="auto" w:sz="4" w:space="0"/>
              <w:bottom w:val="single" w:color="auto" w:sz="4" w:space="0"/>
              <w:right w:val="single" w:color="auto" w:sz="4" w:space="0"/>
            </w:tcBorders>
            <w:vAlign w:val="center"/>
          </w:tcPr>
          <w:p>
            <w:pPr>
              <w:snapToGrid w:val="0"/>
              <w:jc w:val="right"/>
              <w:rPr>
                <w:rFonts w:hint="eastAsia" w:ascii="宋体" w:hAnsi="宋体" w:eastAsia="宋体" w:cs="宋体"/>
                <w:color w:val="auto"/>
                <w:szCs w:val="21"/>
              </w:rPr>
            </w:pPr>
            <w:r>
              <w:rPr>
                <w:rFonts w:hint="eastAsia" w:ascii="宋体" w:hAnsi="宋体" w:eastAsia="宋体" w:cs="宋体"/>
                <w:color w:val="auto"/>
                <w:szCs w:val="21"/>
              </w:rPr>
              <w:t>543,843,496.85</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right"/>
              <w:rPr>
                <w:rFonts w:hint="eastAsia" w:ascii="宋体" w:hAnsi="宋体" w:eastAsia="宋体" w:cs="宋体"/>
                <w:color w:val="auto"/>
                <w:szCs w:val="21"/>
              </w:rPr>
            </w:pPr>
            <w:r>
              <w:rPr>
                <w:rFonts w:hint="eastAsia" w:ascii="宋体" w:hAnsi="宋体" w:eastAsia="宋体" w:cs="宋体"/>
                <w:color w:val="auto"/>
                <w:szCs w:val="21"/>
              </w:rPr>
              <w:t>-2,626.43</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jc w:val="right"/>
              <w:rPr>
                <w:rFonts w:hint="eastAsia" w:ascii="宋体" w:hAnsi="宋体" w:eastAsia="宋体" w:cs="宋体"/>
                <w:color w:val="auto"/>
                <w:szCs w:val="21"/>
              </w:rPr>
            </w:pPr>
            <w:r>
              <w:rPr>
                <w:rFonts w:hint="eastAsia" w:ascii="宋体" w:hAnsi="宋体" w:eastAsia="宋体" w:cs="宋体"/>
                <w:color w:val="auto"/>
                <w:szCs w:val="21"/>
              </w:rPr>
              <w:t>543,840,870.42</w:t>
            </w:r>
          </w:p>
        </w:tc>
      </w:tr>
    </w:tbl>
    <w:p>
      <w:pPr>
        <w:keepNext/>
        <w:keepLines/>
        <w:spacing w:before="300" w:after="300" w:line="280" w:lineRule="exact"/>
        <w:jc w:val="left"/>
        <w:outlineLvl w:val="3"/>
        <w:rPr>
          <w:rFonts w:ascii="宋体" w:hAnsi="宋体" w:eastAsia="宋体" w:cs="宋体"/>
          <w:b/>
          <w:bCs/>
          <w:color w:val="auto"/>
          <w:sz w:val="18"/>
          <w:szCs w:val="18"/>
        </w:rPr>
      </w:pPr>
      <w:r>
        <w:rPr>
          <w:rFonts w:ascii="宋体" w:hAnsi="宋体" w:eastAsia="宋体" w:cs="宋体"/>
          <w:b/>
          <w:bCs/>
          <w:color w:val="auto"/>
          <w:sz w:val="18"/>
          <w:szCs w:val="18"/>
        </w:rPr>
        <w:t>（2） 重要会计估计变更</w:t>
      </w:r>
      <w:bookmarkEnd w:id="20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02" w:name="_Toc989090"/>
      <w:r>
        <w:rPr>
          <w:rFonts w:ascii="宋体" w:hAnsi="宋体" w:eastAsia="宋体" w:cs="宋体"/>
          <w:b/>
          <w:bCs/>
          <w:sz w:val="18"/>
          <w:szCs w:val="18"/>
        </w:rPr>
        <w:t>（3） 2023年起首次执行新会计准则调整首次执行当年年初财务报表相关项目情况</w:t>
      </w:r>
      <w:bookmarkEnd w:id="202"/>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203" w:name="_Toc989091"/>
      <w:r>
        <w:rPr>
          <w:rFonts w:ascii="宋体" w:hAnsi="宋体" w:eastAsia="宋体" w:cs="宋体"/>
          <w:b/>
          <w:bCs/>
          <w:sz w:val="24"/>
          <w:szCs w:val="24"/>
        </w:rPr>
        <w:t>六、税项</w:t>
      </w:r>
      <w:bookmarkEnd w:id="203"/>
    </w:p>
    <w:p>
      <w:pPr>
        <w:keepNext/>
        <w:keepLines/>
        <w:spacing w:before="300" w:after="300" w:line="280" w:lineRule="exact"/>
        <w:jc w:val="left"/>
        <w:outlineLvl w:val="2"/>
        <w:rPr>
          <w:rFonts w:ascii="宋体" w:hAnsi="宋体" w:eastAsia="宋体" w:cs="宋体"/>
          <w:b/>
          <w:bCs/>
          <w:sz w:val="21"/>
          <w:szCs w:val="21"/>
        </w:rPr>
      </w:pPr>
      <w:bookmarkStart w:id="204" w:name="_Toc989092"/>
      <w:r>
        <w:rPr>
          <w:rFonts w:ascii="宋体" w:hAnsi="宋体" w:eastAsia="宋体" w:cs="宋体"/>
          <w:b/>
          <w:bCs/>
          <w:sz w:val="21"/>
          <w:szCs w:val="21"/>
        </w:rPr>
        <w:t>1、主要税种及税率</w:t>
      </w:r>
      <w:bookmarkEnd w:id="204"/>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398"/>
        <w:gridCol w:w="4364"/>
        <w:gridCol w:w="28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税种</w:t>
            </w:r>
          </w:p>
        </w:tc>
        <w:tc>
          <w:tcPr>
            <w:tcW w:w="43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计税依据</w:t>
            </w:r>
          </w:p>
        </w:tc>
        <w:tc>
          <w:tcPr>
            <w:tcW w:w="28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应纳税增值额（应纳税额按应纳税销售额乘以适用税率扣除当期允许抵扣的进项税后的余额计算）</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13%、9%、5%、6%、3%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实际缴纳的流转税额</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应纳税所得额</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房产税</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从价计征的，按房产原值一次减除 30%后余值的 1.2%计缴；从租计征的，按租金收入的12%计缴</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实际缴纳的流转税额</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地方教育附加</w:t>
            </w:r>
          </w:p>
        </w:tc>
        <w:tc>
          <w:tcPr>
            <w:tcW w:w="43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实际缴纳的流转税额</w:t>
            </w:r>
          </w:p>
        </w:tc>
        <w:tc>
          <w:tcPr>
            <w:tcW w:w="28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存在不同企业所得税税率纳税主体的，披露情况说明</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纳税主体名称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eastAsia" w:ascii="宋体" w:hAnsi="宋体" w:eastAsia="宋体" w:cs="宋体"/>
                <w:sz w:val="18"/>
                <w:szCs w:val="18"/>
                <w:lang w:eastAsia="zh-CN"/>
              </w:rPr>
            </w:pPr>
            <w:r>
              <w:rPr>
                <w:rFonts w:ascii="宋体" w:hAnsi="宋体" w:eastAsia="宋体" w:cs="宋体"/>
                <w:sz w:val="18"/>
                <w:szCs w:val="18"/>
              </w:rPr>
              <w:t>所得税税率</w:t>
            </w:r>
            <w:r>
              <w:rPr>
                <w:rFonts w:hint="eastAsia" w:ascii="宋体" w:hAnsi="宋体" w:cs="宋体"/>
                <w:sz w:val="18"/>
                <w:szCs w:val="18"/>
                <w:lang w:eastAsia="zh-CN"/>
              </w:rPr>
              <w:t>（</w:t>
            </w:r>
            <w:r>
              <w:rPr>
                <w:rFonts w:hint="eastAsia" w:ascii="宋体" w:hAnsi="宋体" w:cs="宋体"/>
                <w:sz w:val="18"/>
                <w:szCs w:val="18"/>
                <w:lang w:val="en-US" w:eastAsia="zh-CN"/>
              </w:rPr>
              <w:t>%</w:t>
            </w:r>
            <w:r>
              <w:rPr>
                <w:rFonts w:hint="eastAsia" w:ascii="宋体" w:hAnsi="宋体" w:cs="宋体"/>
                <w:sz w:val="18"/>
                <w:szCs w:val="18"/>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深圳市特力创盈科技有限公司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深圳市宝安石泉实业有限公司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深圳市特发特力房地产有限公司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深圳市汽车工业供销公司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深圳市新永通机动车检测设备有限公司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上海泛粤钻石有限公司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除上述以外的其他纳税主体</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25</w:t>
            </w:r>
          </w:p>
        </w:tc>
      </w:tr>
    </w:tbl>
    <w:p>
      <w:pPr>
        <w:keepNext/>
        <w:keepLines/>
        <w:spacing w:before="300" w:after="300" w:line="280" w:lineRule="exact"/>
        <w:jc w:val="left"/>
        <w:outlineLvl w:val="2"/>
        <w:rPr>
          <w:rFonts w:ascii="宋体" w:hAnsi="宋体" w:eastAsia="宋体" w:cs="宋体"/>
          <w:b/>
          <w:bCs/>
          <w:sz w:val="21"/>
          <w:szCs w:val="21"/>
        </w:rPr>
      </w:pPr>
      <w:bookmarkStart w:id="205" w:name="_Toc989093"/>
      <w:r>
        <w:rPr>
          <w:rFonts w:ascii="宋体" w:hAnsi="宋体" w:eastAsia="宋体" w:cs="宋体"/>
          <w:b/>
          <w:bCs/>
          <w:sz w:val="21"/>
          <w:szCs w:val="21"/>
        </w:rPr>
        <w:t>2、税收优惠</w:t>
      </w:r>
      <w:bookmarkEnd w:id="205"/>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①企业所得税</w:t>
      </w:r>
    </w:p>
    <w:p>
      <w:pPr>
        <w:pStyle w:val="8"/>
        <w:keepNext w:val="0"/>
        <w:keepLines w:val="0"/>
        <w:widowControl/>
        <w:suppressLineNumbers w:val="0"/>
        <w:spacing w:before="120" w:beforeAutospacing="0" w:after="216" w:afterAutospacing="0" w:line="340" w:lineRule="atLeast"/>
        <w:ind w:left="0" w:right="0"/>
        <w:jc w:val="both"/>
        <w:rPr>
          <w:rFonts w:hint="eastAsia" w:ascii="宋体" w:hAnsi="宋体" w:cs="宋体"/>
          <w:sz w:val="21"/>
          <w:szCs w:val="21"/>
        </w:rPr>
      </w:pPr>
      <w:r>
        <w:rPr>
          <w:rFonts w:hint="eastAsia" w:ascii="宋体" w:hAnsi="宋体" w:eastAsia="宋体" w:cs="宋体"/>
          <w:sz w:val="21"/>
          <w:szCs w:val="21"/>
        </w:rPr>
        <w:t>根据《关于进一步实施小微企业所得税优惠政策的公告》（财政部税务总局公告2022年第13号），在2022年1月1日至2024年12月31日期间，对小型微利企业年应纳税所得额超过100万元但不超过300万元的部分，减按25%计入应纳税所得额，按20%的税率缴纳企业所得税。根据《关于小微企业和个体工商户所得税优惠政策的公告》（财政部税务总局公告2023年第6号），在2023年1月1日至2024年12月31日期间，对小型微利企业年应纳税所得额不超过100万元的部分，减按25%计入应纳税所得额，按20%的税率缴纳企业所得税。本公司之子公司特力创盈、宝安石泉、特力房地产、汽车供销、上海泛粤和新永通检测享受上述税收优惠。</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②增值税</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国家税务总局关于调整钻石及上海钻石交易所有关税收政策的通知》（财税〔2006〕65号），纳税人自上海钻石交易所销往国内市场的毛坯钻石，免征进口环节增值税；纳税人自上海钻石交易所销往国内市场的成品钻石，进口环节增值税实际税负超过4%的部分由海关实行即征即退。进入国内环节，纳税人凭海关开具的完税凭证注明的增值税额抵扣进项税金。纳税人自上海钻石交易所销往国内市场的钻石实行进口环节增值税免征和即征即退政策后，销往国内市场的钻石，在出上海钻石交易所时，海关按照现行规定依法实施管理。本公司之子公司上海泛粤钻石有限公司为上海钻石交易所会员，通过上海钻石交易所进口成品钻石，享受上述税收优惠。</w:t>
      </w:r>
    </w:p>
    <w:p>
      <w:pPr>
        <w:keepNext/>
        <w:keepLines/>
        <w:spacing w:before="300" w:after="300" w:line="320" w:lineRule="exact"/>
        <w:jc w:val="left"/>
        <w:outlineLvl w:val="1"/>
        <w:rPr>
          <w:rFonts w:ascii="宋体" w:hAnsi="宋体" w:eastAsia="宋体" w:cs="宋体"/>
          <w:b/>
          <w:bCs/>
          <w:sz w:val="24"/>
          <w:szCs w:val="24"/>
        </w:rPr>
      </w:pPr>
      <w:bookmarkStart w:id="206" w:name="_Toc989094"/>
      <w:r>
        <w:rPr>
          <w:rFonts w:ascii="宋体" w:hAnsi="宋体" w:eastAsia="宋体" w:cs="宋体"/>
          <w:b/>
          <w:bCs/>
          <w:sz w:val="24"/>
          <w:szCs w:val="24"/>
        </w:rPr>
        <w:t>七、合并财务报表项目注释</w:t>
      </w:r>
      <w:bookmarkEnd w:id="206"/>
    </w:p>
    <w:p>
      <w:pPr>
        <w:keepNext/>
        <w:keepLines/>
        <w:spacing w:before="300" w:after="300" w:line="280" w:lineRule="exact"/>
        <w:jc w:val="left"/>
        <w:outlineLvl w:val="2"/>
        <w:rPr>
          <w:rFonts w:ascii="宋体" w:hAnsi="宋体" w:eastAsia="宋体" w:cs="宋体"/>
          <w:b/>
          <w:bCs/>
          <w:sz w:val="21"/>
          <w:szCs w:val="21"/>
        </w:rPr>
      </w:pPr>
      <w:bookmarkStart w:id="207" w:name="_Toc989095"/>
      <w:r>
        <w:rPr>
          <w:rFonts w:ascii="宋体" w:hAnsi="宋体" w:eastAsia="宋体" w:cs="宋体"/>
          <w:b/>
          <w:bCs/>
          <w:sz w:val="21"/>
          <w:szCs w:val="21"/>
        </w:rPr>
        <w:t>1、货币资金</w:t>
      </w:r>
      <w:bookmarkEnd w:id="20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46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038"/>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0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0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17,215.98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25,673.67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0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120,961,253.61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394,258,891.55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0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99,362,492.05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18,743,762.14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0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220,340,961.64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413,028,327.36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8"/>
        <w:keepNext w:val="0"/>
        <w:keepLines w:val="0"/>
        <w:widowControl/>
        <w:suppressLineNumbers w:val="0"/>
        <w:spacing w:before="120" w:beforeAutospacing="0" w:after="12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本公司使用权受限的货币资金主要为黄金租赁和期货期权保证金。</w:t>
      </w:r>
    </w:p>
    <w:p>
      <w:pPr>
        <w:pStyle w:val="8"/>
        <w:keepNext w:val="0"/>
        <w:keepLines w:val="0"/>
        <w:widowControl/>
        <w:suppressLineNumbers w:val="0"/>
        <w:spacing w:before="120" w:beforeAutospacing="0" w:after="12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受限制的货币资金明细如下：</w:t>
      </w:r>
    </w:p>
    <w:tbl>
      <w:tblPr>
        <w:tblStyle w:val="9"/>
        <w:tblW w:w="947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856"/>
        <w:gridCol w:w="2174"/>
        <w:gridCol w:w="24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Style w:val="11"/>
                <w:rFonts w:hint="eastAsia" w:ascii="宋体" w:hAnsi="宋体" w:eastAsia="宋体" w:cs="宋体"/>
                <w:sz w:val="18"/>
                <w:szCs w:val="18"/>
              </w:rPr>
              <w:t>项目</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期末余额</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上年年末余额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sz w:val="18"/>
                <w:szCs w:val="18"/>
              </w:rPr>
              <w:t>产业园03升级改造项目地块项目的监管资金</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10,665,656.00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sz w:val="18"/>
                <w:szCs w:val="18"/>
              </w:rPr>
              <w:t>履约保函保证金</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2,000,000.00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sz w:val="18"/>
                <w:szCs w:val="18"/>
              </w:rPr>
              <w:t>黄金租赁保证金</w:t>
            </w:r>
            <w:r>
              <w:rPr>
                <w:rFonts w:hint="eastAsia" w:ascii="宋体" w:hAnsi="宋体" w:eastAsia="宋体" w:cs="宋体"/>
                <w:kern w:val="0"/>
                <w:sz w:val="18"/>
                <w:szCs w:val="18"/>
              </w:rPr>
              <w:t>及其利息</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51,328,583.35</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sz w:val="18"/>
                <w:szCs w:val="18"/>
              </w:rPr>
              <w:t>期货期权账户保证金</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8,188,990.60</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8,955,842.00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eastAsia="宋体" w:cs="宋体"/>
                <w:sz w:val="18"/>
                <w:szCs w:val="18"/>
              </w:rPr>
            </w:pPr>
            <w:r>
              <w:rPr>
                <w:rFonts w:hint="eastAsia" w:ascii="宋体" w:hAnsi="宋体" w:eastAsia="宋体" w:cs="宋体"/>
                <w:kern w:val="0"/>
                <w:sz w:val="18"/>
                <w:szCs w:val="18"/>
              </w:rPr>
              <w:t>司法控制金额</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bCs/>
                <w:sz w:val="18"/>
                <w:szCs w:val="18"/>
              </w:rPr>
              <w:t>600,000.00</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256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Style w:val="11"/>
                <w:rFonts w:hint="eastAsia" w:ascii="宋体" w:hAnsi="宋体" w:eastAsia="宋体" w:cs="宋体"/>
                <w:sz w:val="18"/>
                <w:szCs w:val="18"/>
              </w:rPr>
              <w:t>合 计</w:t>
            </w:r>
          </w:p>
        </w:tc>
        <w:tc>
          <w:tcPr>
            <w:tcW w:w="1147"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b/>
                <w:bCs/>
                <w:sz w:val="18"/>
                <w:szCs w:val="18"/>
              </w:rPr>
              <w:t>60,117,573.95</w:t>
            </w:r>
          </w:p>
        </w:tc>
        <w:tc>
          <w:tcPr>
            <w:tcW w:w="1289"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b/>
                <w:bCs/>
                <w:sz w:val="18"/>
                <w:szCs w:val="18"/>
              </w:rPr>
              <w:t>21,621,498.00</w:t>
            </w:r>
          </w:p>
        </w:tc>
      </w:tr>
    </w:tbl>
    <w:p>
      <w:pPr>
        <w:keepNext/>
        <w:keepLines/>
        <w:spacing w:before="300" w:after="300" w:line="280" w:lineRule="exact"/>
        <w:jc w:val="left"/>
        <w:outlineLvl w:val="2"/>
        <w:rPr>
          <w:rFonts w:ascii="宋体" w:hAnsi="宋体" w:eastAsia="宋体" w:cs="宋体"/>
          <w:b/>
          <w:bCs/>
          <w:sz w:val="21"/>
          <w:szCs w:val="21"/>
        </w:rPr>
      </w:pPr>
      <w:bookmarkStart w:id="208" w:name="_Toc989096"/>
      <w:r>
        <w:rPr>
          <w:rFonts w:ascii="宋体" w:hAnsi="宋体" w:eastAsia="宋体" w:cs="宋体"/>
          <w:b/>
          <w:bCs/>
          <w:sz w:val="21"/>
          <w:szCs w:val="21"/>
        </w:rPr>
        <w:t>2、交易性金融资产</w:t>
      </w:r>
      <w:bookmarkEnd w:id="2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以公允价值计量且其变动计入当期损益的金融资产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206,294,931.94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176,133,569.95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结构性存款及理财产品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131,495,916.67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176,133,569.95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74,799,015.27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206,294,931.94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176,133,569.95</w:t>
            </w:r>
          </w:p>
        </w:tc>
      </w:tr>
    </w:tbl>
    <w:p>
      <w:pPr>
        <w:keepNext/>
        <w:keepLines/>
        <w:spacing w:before="300" w:after="300" w:line="280" w:lineRule="exact"/>
        <w:jc w:val="left"/>
        <w:outlineLvl w:val="2"/>
        <w:rPr>
          <w:rFonts w:ascii="宋体" w:hAnsi="宋体" w:eastAsia="宋体" w:cs="宋体"/>
          <w:b/>
          <w:bCs/>
          <w:sz w:val="21"/>
          <w:szCs w:val="21"/>
        </w:rPr>
      </w:pPr>
      <w:bookmarkStart w:id="209" w:name="_Toc989097"/>
      <w:r>
        <w:rPr>
          <w:rFonts w:ascii="宋体" w:hAnsi="宋体" w:eastAsia="宋体" w:cs="宋体"/>
          <w:b/>
          <w:bCs/>
          <w:sz w:val="21"/>
          <w:szCs w:val="21"/>
        </w:rPr>
        <w:t>3、衍生金融资产</w:t>
      </w:r>
      <w:bookmarkEnd w:id="20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套期工具—指定套期关系的衍生金融资产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10" w:name="_Toc989098"/>
      <w:r>
        <w:rPr>
          <w:rFonts w:ascii="宋体" w:hAnsi="宋体" w:eastAsia="宋体" w:cs="宋体"/>
          <w:b/>
          <w:bCs/>
          <w:sz w:val="21"/>
          <w:szCs w:val="21"/>
        </w:rPr>
        <w:t>4、应收票据</w:t>
      </w:r>
      <w:bookmarkEnd w:id="210"/>
    </w:p>
    <w:p>
      <w:pPr>
        <w:keepNext/>
        <w:keepLines/>
        <w:spacing w:before="300" w:after="300" w:line="280" w:lineRule="exact"/>
        <w:jc w:val="left"/>
        <w:outlineLvl w:val="3"/>
        <w:rPr>
          <w:rFonts w:ascii="宋体" w:hAnsi="宋体" w:eastAsia="宋体" w:cs="宋体"/>
          <w:b/>
          <w:bCs/>
          <w:sz w:val="21"/>
          <w:szCs w:val="21"/>
        </w:rPr>
      </w:pPr>
      <w:bookmarkStart w:id="211" w:name="_Toc989099"/>
      <w:r>
        <w:rPr>
          <w:rFonts w:ascii="宋体" w:hAnsi="宋体" w:eastAsia="宋体" w:cs="宋体"/>
          <w:b/>
          <w:bCs/>
          <w:sz w:val="21"/>
          <w:szCs w:val="21"/>
        </w:rPr>
        <w:t>（1） 应收票据分类列示</w:t>
      </w:r>
      <w:bookmarkEnd w:id="2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银行承兑票据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87,812,500.00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87,812,500.00</w:t>
            </w:r>
          </w:p>
        </w:tc>
      </w:tr>
    </w:tbl>
    <w:p>
      <w:pPr>
        <w:keepNext/>
        <w:keepLines/>
        <w:spacing w:before="300" w:after="300" w:line="280" w:lineRule="exact"/>
        <w:jc w:val="left"/>
        <w:outlineLvl w:val="2"/>
        <w:rPr>
          <w:rFonts w:ascii="宋体" w:hAnsi="宋体" w:eastAsia="宋体" w:cs="宋体"/>
          <w:b/>
          <w:bCs/>
          <w:sz w:val="21"/>
          <w:szCs w:val="21"/>
        </w:rPr>
      </w:pPr>
      <w:bookmarkStart w:id="212" w:name="_Toc989100"/>
      <w:r>
        <w:rPr>
          <w:rFonts w:ascii="宋体" w:hAnsi="宋体" w:eastAsia="宋体" w:cs="宋体"/>
          <w:b/>
          <w:bCs/>
          <w:sz w:val="21"/>
          <w:szCs w:val="21"/>
        </w:rPr>
        <w:t>5、应收账款</w:t>
      </w:r>
      <w:bookmarkEnd w:id="212"/>
    </w:p>
    <w:p>
      <w:pPr>
        <w:keepNext/>
        <w:keepLines/>
        <w:spacing w:before="300" w:after="300" w:line="280" w:lineRule="exact"/>
        <w:jc w:val="left"/>
        <w:outlineLvl w:val="3"/>
        <w:rPr>
          <w:rFonts w:ascii="宋体" w:hAnsi="宋体" w:eastAsia="宋体" w:cs="宋体"/>
          <w:b/>
          <w:bCs/>
          <w:sz w:val="21"/>
          <w:szCs w:val="21"/>
        </w:rPr>
      </w:pPr>
      <w:bookmarkStart w:id="213" w:name="_Toc989101"/>
      <w:r>
        <w:rPr>
          <w:rFonts w:ascii="宋体" w:hAnsi="宋体" w:eastAsia="宋体" w:cs="宋体"/>
          <w:b/>
          <w:bCs/>
          <w:sz w:val="21"/>
          <w:szCs w:val="21"/>
        </w:rPr>
        <w:t>（1） 按账龄披露</w:t>
      </w:r>
      <w:bookmarkEnd w:id="213"/>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100,107,755.14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42,172,221.79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555,132.97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48,749,943.16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48,784,845.16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5年以上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48,749,943.16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48,784,845.16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149,412,831.27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90,957,066.95</w:t>
            </w:r>
          </w:p>
        </w:tc>
      </w:tr>
    </w:tbl>
    <w:p>
      <w:pPr>
        <w:keepNext/>
        <w:keepLines/>
        <w:spacing w:before="300" w:after="300" w:line="280" w:lineRule="exact"/>
        <w:jc w:val="left"/>
        <w:outlineLvl w:val="3"/>
        <w:rPr>
          <w:rFonts w:ascii="宋体" w:hAnsi="宋体" w:eastAsia="宋体" w:cs="宋体"/>
          <w:b/>
          <w:bCs/>
          <w:sz w:val="21"/>
          <w:szCs w:val="21"/>
        </w:rPr>
      </w:pPr>
      <w:bookmarkStart w:id="214" w:name="_Toc989102"/>
      <w:r>
        <w:rPr>
          <w:rFonts w:ascii="宋体" w:hAnsi="宋体" w:eastAsia="宋体" w:cs="宋体"/>
          <w:b/>
          <w:bCs/>
          <w:sz w:val="21"/>
          <w:szCs w:val="21"/>
        </w:rPr>
        <w:t>（2） 按坏账计提方法分类披露</w:t>
      </w:r>
      <w:bookmarkEnd w:id="2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48,746,583.16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32.63%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48,746,583.16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48,781,485.16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48,781,485.16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100,666,248.11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1,030,496.59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99,635,751.52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42,175,581.79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423,402.23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41,752,179.56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ascii="宋体" w:hAnsi="宋体" w:eastAsia="宋体" w:cs="宋体"/>
                <w:sz w:val="18"/>
                <w:szCs w:val="18"/>
              </w:rPr>
              <w:t>其中：</w:t>
            </w:r>
            <w:r>
              <w:rPr>
                <w:rFonts w:hint="eastAsia" w:ascii="宋体" w:hAnsi="宋体" w:cs="宋体"/>
                <w:sz w:val="18"/>
                <w:szCs w:val="18"/>
                <w:lang w:val="en-US" w:eastAsia="zh-CN"/>
              </w:rPr>
              <w:t>租赁及其他业务组合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41,303,639.85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436,870.51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40,866,769.34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41,508,602.26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416,732.43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41,091,869.83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珠宝销售业务组合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58,768,982.18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666,979.53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6,669.80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660,309.73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149,412,831.27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49,777,079.75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99,635,751.52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90,957,066.95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49,204,887.39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54.10%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41,752,179.56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按单项计提坏账准备：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516"/>
        <w:gridCol w:w="1397"/>
        <w:gridCol w:w="1483"/>
        <w:gridCol w:w="1482"/>
        <w:gridCol w:w="100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29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34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4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0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深圳市金路工贸公司</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广东湛江三星汽车股份有限公司</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4,060,329.44</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4,060,329.44</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4,060,329.44</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4,060,329.44</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王昌龙</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2,370,760.40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2,370,760.40</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2,370,760.40</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2,370,760.40</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惠州市建达城道桥工程公司</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2,021,657.70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2,021,657.70</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2,021,657.70</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2,021,657.70</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广东省广物控股集团有限公司</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1,191,059.98</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1,191,059.98</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1,862,000.00</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1,862,000.00</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江铃汽车制造厂</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1,150,000.00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1,150,000.00</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1,191,059.98</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1,191,059.98</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阳江市汽车贸易有限公司</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1,862,000.00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1,862,000.00</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1,150,000.00</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1,150,000.00</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26,279,070.64</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26,279,070.64</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26,244,168.64</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26,244,168.64</w:t>
            </w:r>
          </w:p>
        </w:tc>
        <w:tc>
          <w:tcPr>
            <w:tcW w:w="10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48,781,485.16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48,781,485.16</w:t>
            </w: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48,746,583.16</w:t>
            </w:r>
          </w:p>
        </w:tc>
        <w:tc>
          <w:tcPr>
            <w:tcW w:w="14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48,746,583.16</w:t>
            </w:r>
          </w:p>
        </w:tc>
        <w:tc>
          <w:tcPr>
            <w:tcW w:w="1007"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按组合计提坏账准备：</w:t>
      </w:r>
      <w:r>
        <w:rPr>
          <w:rFonts w:hint="eastAsia" w:ascii="宋体" w:hAnsi="宋体" w:cs="宋体"/>
          <w:sz w:val="18"/>
          <w:szCs w:val="18"/>
          <w:lang w:val="en-US" w:eastAsia="zh-CN"/>
        </w:rPr>
        <w:t>租赁及其他业务组合</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40,745,146.88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407,433.86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555,132.97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27,756.65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41,303,639.85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436,870.51</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按组合计提坏账准备：珠宝销售业务组合</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593,626.08</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423,402.23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48,781,485.16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49,204,887.39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607,094.36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607,094.36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34,902.00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34,902.00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1,030,496.59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48,746,583.16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49,777,079.75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各阶段划分依据和坏账准备计提比例</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对本期发生损失准备变动的应收账款账面余额显著变动的情况说明：</w:t>
      </w:r>
    </w:p>
    <w:p>
      <w:pPr>
        <w:keepNext/>
        <w:keepLines/>
        <w:spacing w:before="300" w:after="300" w:line="280" w:lineRule="exact"/>
        <w:jc w:val="left"/>
        <w:outlineLvl w:val="3"/>
        <w:rPr>
          <w:rFonts w:ascii="宋体" w:hAnsi="宋体" w:eastAsia="宋体" w:cs="宋体"/>
          <w:b/>
          <w:bCs/>
          <w:sz w:val="21"/>
          <w:szCs w:val="21"/>
        </w:rPr>
      </w:pPr>
      <w:bookmarkStart w:id="215" w:name="_Toc989103"/>
      <w:r>
        <w:rPr>
          <w:rFonts w:ascii="宋体" w:hAnsi="宋体" w:eastAsia="宋体" w:cs="宋体"/>
          <w:b/>
          <w:bCs/>
          <w:sz w:val="21"/>
          <w:szCs w:val="21"/>
        </w:rPr>
        <w:t>（3） 本期计提、收回或转回的坏账准备情况</w:t>
      </w:r>
      <w:bookmarkEnd w:id="215"/>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558"/>
        <w:gridCol w:w="1196"/>
        <w:gridCol w:w="1179"/>
        <w:gridCol w:w="1028"/>
        <w:gridCol w:w="1432"/>
        <w:gridCol w:w="18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55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483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86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5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1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17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0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4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86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5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49,204,887.39</w:t>
            </w:r>
          </w:p>
        </w:tc>
        <w:tc>
          <w:tcPr>
            <w:tcW w:w="11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607,094.36</w:t>
            </w:r>
          </w:p>
        </w:tc>
        <w:tc>
          <w:tcPr>
            <w:tcW w:w="11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34,902.00</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49,777,079.75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5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49,204,887.39</w:t>
            </w:r>
          </w:p>
        </w:tc>
        <w:tc>
          <w:tcPr>
            <w:tcW w:w="11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607,094.36</w:t>
            </w:r>
          </w:p>
        </w:tc>
        <w:tc>
          <w:tcPr>
            <w:tcW w:w="11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34,902.00</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49,777,079.75</w:t>
            </w:r>
          </w:p>
        </w:tc>
      </w:tr>
    </w:tbl>
    <w:p>
      <w:pPr>
        <w:keepNext/>
        <w:keepLines/>
        <w:spacing w:before="300" w:after="300" w:line="280" w:lineRule="exact"/>
        <w:jc w:val="left"/>
        <w:outlineLvl w:val="3"/>
        <w:rPr>
          <w:rFonts w:ascii="宋体" w:hAnsi="宋体" w:eastAsia="宋体" w:cs="宋体"/>
          <w:b/>
          <w:bCs/>
          <w:sz w:val="21"/>
          <w:szCs w:val="21"/>
        </w:rPr>
      </w:pPr>
      <w:bookmarkStart w:id="216" w:name="_Toc989104"/>
      <w:r>
        <w:rPr>
          <w:rFonts w:ascii="宋体" w:hAnsi="宋体" w:eastAsia="宋体" w:cs="宋体"/>
          <w:b/>
          <w:bCs/>
          <w:sz w:val="21"/>
          <w:szCs w:val="21"/>
        </w:rPr>
        <w:t>（4） 按欠款方归集的期末余额前五名的应收账款和合同资产情况</w:t>
      </w:r>
      <w:bookmarkEnd w:id="21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合同资产期末余额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应收账款和合同资产期末余额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占应收账款和合同资产期末余额合计数的比例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应收账款坏账准备和合同资产减值准备期末余额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深圳市峰汇珠宝首饰有限公司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24,198,500.00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24,198,500.00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241,985.00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国金黄金股份有限公司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20,460,300.00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20,460,300.00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204,603.00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深圳市金路工贸公司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9,846,607.00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深圳市艺潮金时尚黄金有限公司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5,390,440.00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5,390,440.00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53,904.40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深圳市港福珠宝供应链有限公司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4,696,569.37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4,696,569.37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46,965.69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64,592,416.37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64,592,416.37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10,394,065.09</w:t>
            </w:r>
          </w:p>
        </w:tc>
      </w:tr>
    </w:tbl>
    <w:p>
      <w:pPr>
        <w:keepNext/>
        <w:keepLines/>
        <w:spacing w:before="300" w:after="300" w:line="280" w:lineRule="exact"/>
        <w:jc w:val="left"/>
        <w:outlineLvl w:val="2"/>
        <w:rPr>
          <w:rFonts w:ascii="宋体" w:hAnsi="宋体" w:eastAsia="宋体" w:cs="宋体"/>
          <w:b/>
          <w:bCs/>
          <w:sz w:val="21"/>
          <w:szCs w:val="21"/>
        </w:rPr>
      </w:pPr>
      <w:bookmarkStart w:id="217" w:name="_Toc989105"/>
      <w:r>
        <w:rPr>
          <w:rFonts w:ascii="宋体" w:hAnsi="宋体" w:eastAsia="宋体" w:cs="宋体"/>
          <w:b/>
          <w:bCs/>
          <w:sz w:val="21"/>
          <w:szCs w:val="21"/>
        </w:rPr>
        <w:t>6、其他应收款</w:t>
      </w:r>
      <w:bookmarkEnd w:id="21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11,077,935.06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5,810,804.66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12,383,516.92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7,663,570.87</w:t>
            </w:r>
          </w:p>
        </w:tc>
      </w:tr>
    </w:tbl>
    <w:p>
      <w:pPr>
        <w:keepNext/>
        <w:keepLines/>
        <w:spacing w:before="300" w:after="300" w:line="280" w:lineRule="exact"/>
        <w:jc w:val="left"/>
        <w:outlineLvl w:val="3"/>
        <w:rPr>
          <w:rFonts w:ascii="宋体" w:hAnsi="宋体" w:eastAsia="宋体" w:cs="宋体"/>
          <w:b/>
          <w:bCs/>
          <w:sz w:val="21"/>
          <w:szCs w:val="21"/>
        </w:rPr>
      </w:pPr>
      <w:bookmarkStart w:id="218" w:name="_Toc989106"/>
      <w:r>
        <w:rPr>
          <w:rFonts w:ascii="宋体" w:hAnsi="宋体" w:eastAsia="宋体" w:cs="宋体"/>
          <w:b/>
          <w:bCs/>
          <w:sz w:val="21"/>
          <w:szCs w:val="21"/>
        </w:rPr>
        <w:t>（1） 应收股利</w:t>
      </w:r>
      <w:bookmarkEnd w:id="218"/>
    </w:p>
    <w:p>
      <w:pPr>
        <w:keepNext/>
        <w:keepLines/>
        <w:spacing w:before="300" w:after="300" w:line="280" w:lineRule="exact"/>
        <w:jc w:val="left"/>
        <w:outlineLvl w:val="4"/>
        <w:rPr>
          <w:rFonts w:ascii="宋体" w:hAnsi="宋体" w:eastAsia="宋体" w:cs="宋体"/>
          <w:b/>
          <w:bCs/>
          <w:sz w:val="21"/>
          <w:szCs w:val="21"/>
        </w:rPr>
      </w:pPr>
      <w:bookmarkStart w:id="219" w:name="_Toc989107"/>
      <w:r>
        <w:rPr>
          <w:rFonts w:ascii="宋体" w:hAnsi="宋体" w:eastAsia="宋体" w:cs="宋体"/>
          <w:b/>
          <w:bCs/>
          <w:sz w:val="21"/>
          <w:szCs w:val="21"/>
        </w:rPr>
        <w:t>1） 应收股利分类</w:t>
      </w:r>
      <w:bookmarkEnd w:id="2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中国浦发机械工业股份有限公司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bl>
    <w:p>
      <w:pPr>
        <w:keepNext/>
        <w:keepLines/>
        <w:spacing w:before="300" w:after="300" w:line="280" w:lineRule="exact"/>
        <w:jc w:val="left"/>
        <w:outlineLvl w:val="4"/>
        <w:rPr>
          <w:rFonts w:ascii="宋体" w:hAnsi="宋体" w:eastAsia="宋体" w:cs="宋体"/>
          <w:b/>
          <w:bCs/>
          <w:sz w:val="21"/>
          <w:szCs w:val="21"/>
        </w:rPr>
      </w:pPr>
      <w:bookmarkStart w:id="220" w:name="_Toc989108"/>
      <w:r>
        <w:rPr>
          <w:rFonts w:ascii="宋体" w:hAnsi="宋体" w:eastAsia="宋体" w:cs="宋体"/>
          <w:b/>
          <w:bCs/>
          <w:sz w:val="21"/>
          <w:szCs w:val="21"/>
        </w:rPr>
        <w:t>2） 重要的账龄超过1年的应收股利</w:t>
      </w:r>
      <w:bookmarkEnd w:id="2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中国浦发机械工业股份有限公司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暂未支付</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该公司财务状况、经营情况正常，应收股利未发生减值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221" w:name="_Toc989109"/>
      <w:r>
        <w:rPr>
          <w:rFonts w:ascii="宋体" w:hAnsi="宋体" w:eastAsia="宋体" w:cs="宋体"/>
          <w:b/>
          <w:bCs/>
          <w:sz w:val="21"/>
          <w:szCs w:val="21"/>
        </w:rPr>
        <w:t>（2） 其他应收款</w:t>
      </w:r>
      <w:bookmarkEnd w:id="221"/>
    </w:p>
    <w:p>
      <w:pPr>
        <w:keepNext/>
        <w:keepLines/>
        <w:spacing w:before="300" w:after="300" w:line="280" w:lineRule="exact"/>
        <w:jc w:val="left"/>
        <w:outlineLvl w:val="4"/>
        <w:rPr>
          <w:rFonts w:ascii="宋体" w:hAnsi="宋体" w:eastAsia="宋体" w:cs="宋体"/>
          <w:b/>
          <w:bCs/>
          <w:sz w:val="21"/>
          <w:szCs w:val="21"/>
        </w:rPr>
      </w:pPr>
      <w:bookmarkStart w:id="222" w:name="_Toc989110"/>
      <w:r>
        <w:rPr>
          <w:rFonts w:ascii="宋体" w:hAnsi="宋体" w:eastAsia="宋体" w:cs="宋体"/>
          <w:b/>
          <w:bCs/>
          <w:sz w:val="21"/>
          <w:szCs w:val="21"/>
        </w:rPr>
        <w:t>1） 其他应收款按款项性质分类情况</w:t>
      </w:r>
      <w:bookmarkEnd w:id="22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应收暂付款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58,543,570.60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57,765,312.21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押金和保证金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3,092,523.97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1,182,793.87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61,636,094.57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58,948,106.08</w:t>
            </w:r>
          </w:p>
        </w:tc>
      </w:tr>
    </w:tbl>
    <w:p>
      <w:pPr>
        <w:keepNext/>
        <w:keepLines/>
        <w:spacing w:before="300" w:after="300" w:line="280" w:lineRule="exact"/>
        <w:jc w:val="left"/>
        <w:outlineLvl w:val="4"/>
        <w:rPr>
          <w:rFonts w:ascii="宋体" w:hAnsi="宋体" w:eastAsia="宋体" w:cs="宋体"/>
          <w:b/>
          <w:bCs/>
          <w:sz w:val="21"/>
          <w:szCs w:val="21"/>
        </w:rPr>
      </w:pPr>
      <w:bookmarkStart w:id="223" w:name="_Toc989111"/>
      <w:r>
        <w:rPr>
          <w:rFonts w:ascii="宋体" w:hAnsi="宋体" w:eastAsia="宋体" w:cs="宋体"/>
          <w:b/>
          <w:bCs/>
          <w:sz w:val="21"/>
          <w:szCs w:val="21"/>
        </w:rPr>
        <w:t>2） 按账龄披露</w:t>
      </w:r>
      <w:bookmarkEnd w:id="223"/>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6,100,909.61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4,043,874.77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982,244.61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345,930.24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192,615.11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447,871.38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54,360,325.24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54,110,429.69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3至4年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249,895.55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5年以上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54,110,429.69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54,110,429.69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61,636,094.57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58,948,106.08</w:t>
            </w:r>
          </w:p>
        </w:tc>
      </w:tr>
    </w:tbl>
    <w:p>
      <w:pPr>
        <w:keepNext/>
        <w:keepLines/>
        <w:spacing w:before="300" w:after="300" w:line="280" w:lineRule="exact"/>
        <w:jc w:val="left"/>
        <w:outlineLvl w:val="4"/>
        <w:rPr>
          <w:rFonts w:ascii="宋体" w:hAnsi="宋体" w:eastAsia="宋体" w:cs="宋体"/>
          <w:b/>
          <w:bCs/>
          <w:sz w:val="21"/>
          <w:szCs w:val="21"/>
        </w:rPr>
      </w:pPr>
      <w:bookmarkStart w:id="224" w:name="_Toc989112"/>
      <w:r>
        <w:rPr>
          <w:rFonts w:ascii="宋体" w:hAnsi="宋体" w:eastAsia="宋体" w:cs="宋体"/>
          <w:b/>
          <w:bCs/>
          <w:sz w:val="21"/>
          <w:szCs w:val="21"/>
        </w:rPr>
        <w:t>3） 按坏账计提方法分类披露</w:t>
      </w:r>
      <w:bookmarkEnd w:id="224"/>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52,224,555.56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84.73%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50,017,691.31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95.77%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2,206,864.25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55,282,157.72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93.78%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52,825,293.47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95.56%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2,456,864.25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9,411,539.01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540,468.20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8,871,070.81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3,665,948.36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312,007.95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3,353,940.41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6,319,015.04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433,367.62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5,885,647.42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2,483,154.49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197,657.45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2,285,497.04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应收押金保证金组合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3,092,523.97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107,100.58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2,985,423.39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1,182,793.87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114,350.50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1,068,443.37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61,636,094.57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50,558,159.51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82.03%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11,077,935.06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58,948,106.08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53,137,301.42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5,810,804.66</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账龄组合</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6,319,015.04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433,367.62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应收押金保证金组合</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3,092,523.97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107,100.58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9,411,539.01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540,468.20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0" w:after="0" w:line="240" w:lineRule="exact"/>
        <w:jc w:val="left"/>
        <w:rPr>
          <w:rFonts w:ascii="宋体" w:hAnsi="宋体" w:eastAsia="宋体" w:cs="宋体"/>
          <w:sz w:val="18"/>
          <w:szCs w:val="18"/>
        </w:rPr>
      </w:pPr>
      <w:r>
        <w:rPr>
          <w:rFonts w:ascii="宋体" w:hAnsi="宋体" w:eastAsia="宋体" w:cs="宋体"/>
          <w:sz w:val="18"/>
          <w:szCs w:val="18"/>
        </w:rPr>
        <w:t>按预期信用损失一般模型计提坏账准备：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312,007.95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52,825,293.47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53,137,301.42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258,892.87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258,892.87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20,284.72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144,762.52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165,047.24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10,147.90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2,689,652.24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2,699,800.14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540,468.20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50,017,691.31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50,558,159.51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各阶段划分依据和坏账准备计提比例</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4"/>
        <w:rPr>
          <w:rFonts w:ascii="宋体" w:hAnsi="宋体" w:eastAsia="宋体" w:cs="宋体"/>
          <w:b/>
          <w:bCs/>
          <w:sz w:val="21"/>
          <w:szCs w:val="21"/>
        </w:rPr>
      </w:pPr>
      <w:bookmarkStart w:id="225" w:name="_Toc989113"/>
      <w:r>
        <w:rPr>
          <w:rFonts w:ascii="宋体" w:hAnsi="宋体" w:eastAsia="宋体" w:cs="宋体"/>
          <w:b/>
          <w:bCs/>
          <w:sz w:val="21"/>
          <w:szCs w:val="21"/>
        </w:rPr>
        <w:t>4） 本期计提、收回或转回的坏账准备情况</w:t>
      </w:r>
      <w:bookmarkEnd w:id="225"/>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516"/>
        <w:gridCol w:w="1238"/>
        <w:gridCol w:w="1377"/>
        <w:gridCol w:w="1377"/>
        <w:gridCol w:w="1313"/>
        <w:gridCol w:w="14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51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3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4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1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转销或核销</w:t>
            </w:r>
          </w:p>
        </w:tc>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4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53,137,301.42</w:t>
            </w:r>
          </w:p>
        </w:tc>
        <w:tc>
          <w:tcPr>
            <w:tcW w:w="12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238,608.15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144,762.52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2,672,987.54</w:t>
            </w:r>
          </w:p>
        </w:tc>
        <w:tc>
          <w:tcPr>
            <w:tcW w:w="14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50,558,159.51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53,137,301.42</w:t>
            </w:r>
          </w:p>
        </w:tc>
        <w:tc>
          <w:tcPr>
            <w:tcW w:w="12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238,608.15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color w:val="000000"/>
                <w:sz w:val="18"/>
                <w:szCs w:val="18"/>
                <w:lang w:bidi="ar"/>
              </w:rPr>
            </w:pPr>
            <w:r>
              <w:rPr>
                <w:rFonts w:hint="eastAsia" w:ascii="宋体" w:hAnsi="宋体" w:eastAsia="宋体" w:cs="宋体"/>
                <w:color w:val="000000"/>
                <w:kern w:val="0"/>
                <w:sz w:val="18"/>
                <w:szCs w:val="18"/>
                <w:lang w:bidi="ar"/>
              </w:rPr>
              <w:t>144,762.52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color w:val="000000"/>
                <w:sz w:val="18"/>
                <w:szCs w:val="18"/>
                <w:lang w:bidi="ar"/>
              </w:rPr>
            </w:pPr>
          </w:p>
        </w:tc>
        <w:tc>
          <w:tcPr>
            <w:tcW w:w="13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2,672,987.54</w:t>
            </w:r>
          </w:p>
        </w:tc>
        <w:tc>
          <w:tcPr>
            <w:tcW w:w="14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50,558,159.51</w:t>
            </w:r>
          </w:p>
        </w:tc>
      </w:tr>
    </w:tbl>
    <w:p>
      <w:pPr>
        <w:keepNext/>
        <w:keepLines/>
        <w:spacing w:before="300" w:after="300" w:line="280" w:lineRule="exact"/>
        <w:jc w:val="left"/>
        <w:outlineLvl w:val="4"/>
        <w:rPr>
          <w:rFonts w:ascii="宋体" w:hAnsi="宋体" w:eastAsia="宋体" w:cs="宋体"/>
          <w:b/>
          <w:bCs/>
          <w:sz w:val="21"/>
          <w:szCs w:val="21"/>
        </w:rPr>
      </w:pPr>
      <w:bookmarkStart w:id="226" w:name="_Toc989114"/>
      <w:r>
        <w:rPr>
          <w:rFonts w:ascii="宋体" w:hAnsi="宋体" w:eastAsia="宋体" w:cs="宋体"/>
          <w:b/>
          <w:bCs/>
          <w:sz w:val="21"/>
          <w:szCs w:val="21"/>
        </w:rPr>
        <w:t>5） 按欠款方归集的期末余额前五名的其他应收款情况</w:t>
      </w:r>
      <w:bookmarkEnd w:id="22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049"/>
        <w:gridCol w:w="1395"/>
        <w:gridCol w:w="1410"/>
        <w:gridCol w:w="975"/>
        <w:gridCol w:w="1410"/>
        <w:gridCol w:w="13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9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中汽华南汽车销售公司</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9,832,956.37</w:t>
            </w:r>
          </w:p>
        </w:tc>
        <w:tc>
          <w:tcPr>
            <w:tcW w:w="9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15.95%</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9,832,956.37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南方工贸深圳实业公司</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7,359,060.75</w:t>
            </w:r>
          </w:p>
        </w:tc>
        <w:tc>
          <w:tcPr>
            <w:tcW w:w="9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11.94%</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7,359,060.75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深圳中浩（集团）股份有限公司</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9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8.11%</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深圳凯丰特种汽车工业有限公司</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4,413,728.50</w:t>
            </w:r>
          </w:p>
        </w:tc>
        <w:tc>
          <w:tcPr>
            <w:tcW w:w="9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2,206,864.25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深圳市金贝丽电器有限公司</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代收代付款</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2,706,983.51</w:t>
            </w:r>
          </w:p>
        </w:tc>
        <w:tc>
          <w:tcPr>
            <w:tcW w:w="9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4.39%</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2,706,983.51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9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29,312,729.13</w:t>
            </w:r>
          </w:p>
        </w:tc>
        <w:tc>
          <w:tcPr>
            <w:tcW w:w="97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47.55%</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27,105,864.88</w:t>
            </w:r>
          </w:p>
        </w:tc>
      </w:tr>
    </w:tbl>
    <w:p>
      <w:pPr>
        <w:keepNext/>
        <w:keepLines/>
        <w:spacing w:before="300" w:after="300" w:line="280" w:lineRule="exact"/>
        <w:jc w:val="left"/>
        <w:outlineLvl w:val="2"/>
        <w:rPr>
          <w:rFonts w:ascii="宋体" w:hAnsi="宋体" w:eastAsia="宋体" w:cs="宋体"/>
          <w:b/>
          <w:bCs/>
          <w:sz w:val="21"/>
          <w:szCs w:val="21"/>
        </w:rPr>
      </w:pPr>
      <w:bookmarkStart w:id="227" w:name="_Toc989115"/>
      <w:r>
        <w:rPr>
          <w:rFonts w:ascii="宋体" w:hAnsi="宋体" w:eastAsia="宋体" w:cs="宋体"/>
          <w:b/>
          <w:bCs/>
          <w:sz w:val="21"/>
          <w:szCs w:val="21"/>
        </w:rPr>
        <w:t>7、预付款项</w:t>
      </w:r>
      <w:bookmarkEnd w:id="227"/>
    </w:p>
    <w:p>
      <w:pPr>
        <w:keepNext/>
        <w:keepLines/>
        <w:spacing w:before="300" w:after="300" w:line="280" w:lineRule="exact"/>
        <w:jc w:val="left"/>
        <w:outlineLvl w:val="3"/>
        <w:rPr>
          <w:rFonts w:ascii="宋体" w:hAnsi="宋体" w:eastAsia="宋体" w:cs="宋体"/>
          <w:b/>
          <w:bCs/>
          <w:sz w:val="21"/>
          <w:szCs w:val="21"/>
        </w:rPr>
      </w:pPr>
      <w:bookmarkStart w:id="228" w:name="_Toc989116"/>
      <w:r>
        <w:rPr>
          <w:rFonts w:ascii="宋体" w:hAnsi="宋体" w:eastAsia="宋体" w:cs="宋体"/>
          <w:b/>
          <w:bCs/>
          <w:sz w:val="21"/>
          <w:szCs w:val="21"/>
        </w:rPr>
        <w:t>（1） 预付款项按账龄列示</w:t>
      </w:r>
      <w:bookmarkEnd w:id="2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38,395,924.17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8,114,727.00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45,984.79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12,525.94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12,525.94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38,454,434.90</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8,127,252.94</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账龄超过1年且金额重要的预付款项未及时结算原因的说明：</w:t>
      </w:r>
    </w:p>
    <w:p>
      <w:pPr>
        <w:pStyle w:val="8"/>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21"/>
          <w:szCs w:val="21"/>
        </w:rPr>
      </w:pPr>
      <w:bookmarkStart w:id="229" w:name="_Toc989117"/>
      <w:r>
        <w:rPr>
          <w:rFonts w:ascii="宋体" w:hAnsi="宋体" w:eastAsia="宋体" w:cs="宋体"/>
          <w:b/>
          <w:bCs/>
          <w:sz w:val="21"/>
          <w:szCs w:val="21"/>
        </w:rPr>
        <w:t>（2） 按预付对象归集的期末余额前五名的预付款情况</w:t>
      </w:r>
      <w:bookmarkEnd w:id="229"/>
    </w:p>
    <w:tbl>
      <w:tblPr>
        <w:tblStyle w:val="9"/>
        <w:tblW w:w="914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88"/>
        <w:gridCol w:w="1566"/>
        <w:gridCol w:w="1631"/>
        <w:gridCol w:w="1228"/>
        <w:gridCol w:w="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Style w:val="11"/>
                <w:rFonts w:hint="eastAsia" w:ascii="宋体" w:hAnsi="宋体" w:eastAsia="宋体" w:cs="宋体"/>
                <w:sz w:val="18"/>
                <w:szCs w:val="18"/>
              </w:rPr>
              <w:t>债务人名称</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18"/>
                <w:szCs w:val="18"/>
              </w:rPr>
            </w:pPr>
            <w:r>
              <w:rPr>
                <w:rStyle w:val="11"/>
                <w:rFonts w:hint="eastAsia" w:ascii="宋体" w:hAnsi="宋体" w:eastAsia="宋体" w:cs="宋体"/>
                <w:sz w:val="18"/>
                <w:szCs w:val="18"/>
              </w:rPr>
              <w:t>账面余额</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占预付款项合计的比例（%）</w:t>
            </w:r>
          </w:p>
        </w:tc>
        <w:tc>
          <w:tcPr>
            <w:tcW w:w="689" w:type="pct"/>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坏账准备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上海金币投资有限公司</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37,507,823.13 </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97.54 </w:t>
            </w:r>
          </w:p>
        </w:tc>
        <w:tc>
          <w:tcPr>
            <w:tcW w:w="682"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软通智慧信息技术有限公司</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593,247.17</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1.54</w:t>
            </w:r>
          </w:p>
        </w:tc>
        <w:tc>
          <w:tcPr>
            <w:tcW w:w="682"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深圳市物华天宝软件有限公司</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102,574.26 </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0.27 </w:t>
            </w:r>
          </w:p>
        </w:tc>
        <w:tc>
          <w:tcPr>
            <w:tcW w:w="682"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深圳乐邦建设工程有限公司</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41,600.00 </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18"/>
                <w:szCs w:val="18"/>
              </w:rPr>
            </w:pPr>
            <w:r>
              <w:rPr>
                <w:rFonts w:hint="eastAsia" w:ascii="宋体" w:hAnsi="宋体" w:eastAsia="宋体" w:cs="宋体"/>
                <w:color w:val="000000"/>
                <w:sz w:val="18"/>
                <w:szCs w:val="18"/>
              </w:rPr>
              <w:t xml:space="preserve"> 0.11 </w:t>
            </w:r>
          </w:p>
        </w:tc>
        <w:tc>
          <w:tcPr>
            <w:tcW w:w="682"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Fonts w:hint="eastAsia" w:ascii="宋体" w:hAnsi="宋体" w:eastAsia="宋体" w:cs="宋体"/>
                <w:color w:val="000000"/>
                <w:sz w:val="18"/>
                <w:szCs w:val="18"/>
              </w:rPr>
              <w:t>中国石化销售股份有限公司广东深圳石油分公司</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color w:val="000000"/>
                <w:sz w:val="18"/>
                <w:szCs w:val="18"/>
              </w:rPr>
              <w:t xml:space="preserve"> 16,240.74 </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color w:val="000000"/>
                <w:sz w:val="18"/>
                <w:szCs w:val="18"/>
              </w:rPr>
              <w:t xml:space="preserve"> 0.04 </w:t>
            </w:r>
          </w:p>
        </w:tc>
        <w:tc>
          <w:tcPr>
            <w:tcW w:w="682"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Fonts w:hint="eastAsia" w:ascii="宋体" w:hAnsi="宋体" w:eastAsia="宋体" w:cs="宋体"/>
                <w:color w:val="00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2573"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18"/>
                <w:szCs w:val="18"/>
              </w:rPr>
            </w:pPr>
            <w:r>
              <w:rPr>
                <w:rStyle w:val="11"/>
                <w:rFonts w:hint="eastAsia" w:ascii="宋体" w:hAnsi="宋体" w:eastAsia="宋体" w:cs="宋体"/>
                <w:b/>
                <w:bCs/>
                <w:sz w:val="18"/>
                <w:szCs w:val="18"/>
              </w:rPr>
              <w:t>合计</w:t>
            </w:r>
          </w:p>
        </w:tc>
        <w:tc>
          <w:tcPr>
            <w:tcW w:w="835" w:type="pc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38,261,485.30</w:t>
            </w:r>
          </w:p>
        </w:tc>
        <w:tc>
          <w:tcPr>
            <w:tcW w:w="902"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sz w:val="18"/>
                <w:szCs w:val="18"/>
              </w:rPr>
              <w:t>99.50</w:t>
            </w:r>
          </w:p>
        </w:tc>
        <w:tc>
          <w:tcPr>
            <w:tcW w:w="689" w:type="pct"/>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18"/>
                <w:szCs w:val="18"/>
              </w:rPr>
            </w:pPr>
            <w:r>
              <w:rPr>
                <w:rStyle w:val="11"/>
                <w:rFonts w:hint="eastAsia" w:ascii="宋体" w:hAnsi="宋体" w:eastAsia="宋体" w:cs="宋体"/>
                <w:b/>
                <w:bCs/>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230" w:name="_Toc989118"/>
      <w:r>
        <w:rPr>
          <w:rFonts w:ascii="宋体" w:hAnsi="宋体" w:eastAsia="宋体" w:cs="宋体"/>
          <w:b/>
          <w:bCs/>
          <w:sz w:val="21"/>
          <w:szCs w:val="21"/>
        </w:rPr>
        <w:t>8、存货</w:t>
      </w:r>
      <w:bookmarkEnd w:id="230"/>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公司是否需要遵守房地产行业的披露要求</w:t>
      </w:r>
    </w:p>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p>
      <w:pPr>
        <w:keepNext/>
        <w:keepLines/>
        <w:spacing w:before="300" w:after="300" w:line="280" w:lineRule="exact"/>
        <w:jc w:val="left"/>
        <w:outlineLvl w:val="3"/>
        <w:rPr>
          <w:rFonts w:ascii="宋体" w:hAnsi="宋体" w:eastAsia="宋体" w:cs="宋体"/>
          <w:b/>
          <w:bCs/>
          <w:sz w:val="21"/>
          <w:szCs w:val="21"/>
        </w:rPr>
      </w:pPr>
      <w:bookmarkStart w:id="231" w:name="_Toc989119"/>
      <w:r>
        <w:rPr>
          <w:rFonts w:ascii="宋体" w:hAnsi="宋体" w:eastAsia="宋体" w:cs="宋体"/>
          <w:b/>
          <w:bCs/>
          <w:sz w:val="21"/>
          <w:szCs w:val="21"/>
        </w:rPr>
        <w:t>（1） 存货分类</w:t>
      </w:r>
      <w:bookmarkEnd w:id="2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104,324,596.41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15,028,496.75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89,296,099.66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32,186,382.35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14,959,426.51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17,226,955.84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8,789,356.39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8,789,356.39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35,204,271.37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15,553,427.93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19,650,843.44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被套期项目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85,802,395.07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85,802,395.07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79,191,876.11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79,191,876.11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委托加工物资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327,656.05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327,656.05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委托代销商品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2,999,683.10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2,999,683.10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202,243,687.02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23,817,853.14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178,425,833.88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146,582,529.83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30,512,854.44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116,069,675.39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公司需遵守《深圳证券交易所上市公司自律监管指引第3号——行业信息披露》中珠宝相关业的披露要求</w:t>
      </w:r>
    </w:p>
    <w:p>
      <w:pPr>
        <w:keepNext/>
        <w:keepLines/>
        <w:spacing w:before="300" w:after="300" w:line="280" w:lineRule="exact"/>
        <w:jc w:val="left"/>
        <w:outlineLvl w:val="3"/>
        <w:rPr>
          <w:rFonts w:ascii="宋体" w:hAnsi="宋体" w:eastAsia="宋体" w:cs="宋体"/>
          <w:b/>
          <w:bCs/>
          <w:sz w:val="21"/>
          <w:szCs w:val="21"/>
        </w:rPr>
      </w:pPr>
      <w:bookmarkStart w:id="232" w:name="_Toc989120"/>
      <w:r>
        <w:rPr>
          <w:rFonts w:ascii="宋体" w:hAnsi="宋体" w:eastAsia="宋体" w:cs="宋体"/>
          <w:b/>
          <w:bCs/>
          <w:sz w:val="21"/>
          <w:szCs w:val="21"/>
        </w:rPr>
        <w:t>（2） 存货跌价准备和合同履约成本减值准备</w:t>
      </w:r>
      <w:bookmarkEnd w:id="2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567"/>
        <w:gridCol w:w="1526"/>
        <w:gridCol w:w="874"/>
        <w:gridCol w:w="1414"/>
        <w:gridCol w:w="1397"/>
        <w:gridCol w:w="14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56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40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281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本期减少金额</w:t>
            </w:r>
          </w:p>
        </w:tc>
        <w:tc>
          <w:tcPr>
            <w:tcW w:w="148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6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8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41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转回或转销</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48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14,959,426.51</w:t>
            </w:r>
          </w:p>
        </w:tc>
        <w:tc>
          <w:tcPr>
            <w:tcW w:w="152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116,803.81</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47,733.57</w:t>
            </w:r>
          </w:p>
        </w:tc>
        <w:tc>
          <w:tcPr>
            <w:tcW w:w="14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15,028,496.75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15,553,427.93</w:t>
            </w:r>
          </w:p>
        </w:tc>
        <w:tc>
          <w:tcPr>
            <w:tcW w:w="152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92,009.98</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1,459,231.10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5,396,850.42</w:t>
            </w:r>
          </w:p>
        </w:tc>
        <w:tc>
          <w:tcPr>
            <w:tcW w:w="14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8,789,356.39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30,512,854.44</w:t>
            </w:r>
          </w:p>
        </w:tc>
        <w:tc>
          <w:tcPr>
            <w:tcW w:w="152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208,813.79</w:t>
            </w:r>
          </w:p>
        </w:tc>
        <w:tc>
          <w:tcPr>
            <w:tcW w:w="8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1,459,231.10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5,444,583.99</w:t>
            </w:r>
          </w:p>
        </w:tc>
        <w:tc>
          <w:tcPr>
            <w:tcW w:w="148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23,817,853.14</w:t>
            </w:r>
          </w:p>
        </w:tc>
      </w:tr>
    </w:tbl>
    <w:p>
      <w:pPr>
        <w:keepNext/>
        <w:keepLines/>
        <w:spacing w:before="300" w:after="300" w:line="280" w:lineRule="exact"/>
        <w:jc w:val="left"/>
        <w:outlineLvl w:val="2"/>
        <w:rPr>
          <w:rFonts w:ascii="宋体" w:hAnsi="宋体" w:eastAsia="宋体" w:cs="宋体"/>
          <w:b/>
          <w:bCs/>
          <w:sz w:val="21"/>
          <w:szCs w:val="21"/>
        </w:rPr>
      </w:pPr>
      <w:bookmarkStart w:id="233" w:name="_Toc989121"/>
      <w:r>
        <w:rPr>
          <w:rFonts w:ascii="宋体" w:hAnsi="宋体" w:eastAsia="宋体" w:cs="宋体"/>
          <w:b/>
          <w:bCs/>
          <w:sz w:val="21"/>
          <w:szCs w:val="21"/>
        </w:rPr>
        <w:t>9、一年内到期的非流动资产</w:t>
      </w:r>
      <w:bookmarkEnd w:id="2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一年内到期的大额存单及利息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55,206,250.00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55,206,250.00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34" w:name="_Toc989122"/>
      <w:r>
        <w:rPr>
          <w:rFonts w:ascii="宋体" w:hAnsi="宋体" w:eastAsia="宋体" w:cs="宋体"/>
          <w:b/>
          <w:bCs/>
          <w:sz w:val="21"/>
          <w:szCs w:val="21"/>
        </w:rPr>
        <w:t>10、其他流动资产</w:t>
      </w:r>
      <w:bookmarkEnd w:id="2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待抵扣进项税额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27,618,761.58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17,764,057.26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预交税金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1,423,927.12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582,654.29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一年内期限的存单</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bCs/>
                <w:sz w:val="18"/>
                <w:szCs w:val="18"/>
              </w:rPr>
              <w:t>75,791,108.89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104,833,797.59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18,346,711.55</w:t>
            </w:r>
          </w:p>
        </w:tc>
      </w:tr>
    </w:tbl>
    <w:p>
      <w:pPr>
        <w:keepNext/>
        <w:keepLines/>
        <w:spacing w:before="300" w:after="300" w:line="280" w:lineRule="exact"/>
        <w:jc w:val="left"/>
        <w:outlineLvl w:val="2"/>
        <w:rPr>
          <w:rFonts w:ascii="宋体" w:hAnsi="宋体" w:eastAsia="宋体" w:cs="宋体"/>
          <w:b/>
          <w:bCs/>
          <w:sz w:val="21"/>
          <w:szCs w:val="21"/>
        </w:rPr>
      </w:pPr>
      <w:bookmarkStart w:id="235" w:name="_Toc989123"/>
      <w:r>
        <w:rPr>
          <w:rFonts w:ascii="宋体" w:hAnsi="宋体" w:eastAsia="宋体" w:cs="宋体"/>
          <w:b/>
          <w:bCs/>
          <w:sz w:val="21"/>
          <w:szCs w:val="21"/>
        </w:rPr>
        <w:t>11、其他债权投资</w:t>
      </w:r>
      <w:bookmarkEnd w:id="235"/>
    </w:p>
    <w:p>
      <w:pPr>
        <w:keepNext/>
        <w:keepLines/>
        <w:spacing w:before="300" w:after="300" w:line="280" w:lineRule="exact"/>
        <w:jc w:val="left"/>
        <w:outlineLvl w:val="3"/>
        <w:rPr>
          <w:rFonts w:ascii="宋体" w:hAnsi="宋体" w:eastAsia="宋体" w:cs="宋体"/>
          <w:b/>
          <w:bCs/>
          <w:sz w:val="21"/>
          <w:szCs w:val="21"/>
        </w:rPr>
      </w:pPr>
      <w:bookmarkStart w:id="236" w:name="_Toc989124"/>
      <w:r>
        <w:rPr>
          <w:rFonts w:ascii="宋体" w:hAnsi="宋体" w:eastAsia="宋体" w:cs="宋体"/>
          <w:b/>
          <w:bCs/>
          <w:sz w:val="21"/>
          <w:szCs w:val="21"/>
        </w:rPr>
        <w:t>（1） 其他债权投资的情况</w:t>
      </w:r>
      <w:bookmarkEnd w:id="2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4"/>
        <w:gridCol w:w="771"/>
        <w:gridCol w:w="643"/>
        <w:gridCol w:w="840"/>
        <w:gridCol w:w="815"/>
        <w:gridCol w:w="1474"/>
        <w:gridCol w:w="1397"/>
        <w:gridCol w:w="1149"/>
        <w:gridCol w:w="857"/>
        <w:gridCol w:w="7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7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应计利息</w:t>
            </w:r>
          </w:p>
        </w:tc>
        <w:tc>
          <w:tcPr>
            <w:tcW w:w="8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利息调整</w:t>
            </w:r>
          </w:p>
        </w:tc>
        <w:tc>
          <w:tcPr>
            <w:tcW w:w="8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w:t>
            </w:r>
          </w:p>
        </w:tc>
        <w:tc>
          <w:tcPr>
            <w:tcW w:w="14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1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累计公允价值变动</w:t>
            </w:r>
          </w:p>
        </w:tc>
        <w:tc>
          <w:tcPr>
            <w:tcW w:w="85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累计在其他综合收益中确认的减值准备</w:t>
            </w:r>
          </w:p>
        </w:tc>
        <w:tc>
          <w:tcPr>
            <w:tcW w:w="7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可转让大额存单</w:t>
            </w:r>
          </w:p>
        </w:tc>
        <w:tc>
          <w:tcPr>
            <w:tcW w:w="7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67,038,381.94</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589,566.66</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67,038,381.94</w:t>
            </w:r>
          </w:p>
        </w:tc>
        <w:tc>
          <w:tcPr>
            <w:tcW w:w="11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589,566.66</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其他债权投资减值准备本期变动情况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可转让大额存单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r>
    </w:tbl>
    <w:p>
      <w:pPr>
        <w:keepNext/>
        <w:keepLines/>
        <w:spacing w:before="300" w:after="300" w:line="280" w:lineRule="exact"/>
        <w:jc w:val="left"/>
        <w:outlineLvl w:val="2"/>
        <w:rPr>
          <w:rFonts w:ascii="宋体" w:hAnsi="宋体" w:eastAsia="宋体" w:cs="宋体"/>
          <w:b/>
          <w:bCs/>
          <w:sz w:val="21"/>
          <w:szCs w:val="21"/>
        </w:rPr>
      </w:pPr>
      <w:bookmarkStart w:id="237" w:name="_Toc989125"/>
      <w:r>
        <w:rPr>
          <w:rFonts w:ascii="宋体" w:hAnsi="宋体" w:eastAsia="宋体" w:cs="宋体"/>
          <w:b/>
          <w:bCs/>
          <w:sz w:val="21"/>
          <w:szCs w:val="21"/>
        </w:rPr>
        <w:t>12、其他权益工具投资</w:t>
      </w:r>
      <w:bookmarkEnd w:id="23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230"/>
        <w:gridCol w:w="1286"/>
        <w:gridCol w:w="697"/>
        <w:gridCol w:w="1360"/>
        <w:gridCol w:w="883"/>
        <w:gridCol w:w="1277"/>
        <w:gridCol w:w="609"/>
        <w:gridCol w:w="12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12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2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本期计入其他综合收益的利得</w:t>
            </w:r>
          </w:p>
        </w:tc>
        <w:tc>
          <w:tcPr>
            <w:tcW w:w="13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本期计入其他综合收益的损失</w:t>
            </w:r>
          </w:p>
        </w:tc>
        <w:tc>
          <w:tcPr>
            <w:tcW w:w="8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本期末累计计入其他综合收益的利得</w:t>
            </w:r>
          </w:p>
        </w:tc>
        <w:tc>
          <w:tcPr>
            <w:tcW w:w="12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本期末累计计入其他综合收益的损失</w:t>
            </w:r>
          </w:p>
        </w:tc>
        <w:tc>
          <w:tcPr>
            <w:tcW w:w="6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本期确认的股利收入</w:t>
            </w:r>
          </w:p>
        </w:tc>
        <w:tc>
          <w:tcPr>
            <w:tcW w:w="12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指定为以公允价值计量且其变动计入其他综合收益的原因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非上市权益工具投资</w:t>
            </w:r>
          </w:p>
        </w:tc>
        <w:tc>
          <w:tcPr>
            <w:tcW w:w="12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383,317.67</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10,176,617.20</w:t>
            </w:r>
          </w:p>
        </w:tc>
        <w:tc>
          <w:tcPr>
            <w:tcW w:w="6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-9,793,299.53</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-9,793,299.53</w:t>
            </w:r>
          </w:p>
        </w:tc>
        <w:tc>
          <w:tcPr>
            <w:tcW w:w="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2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2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383,317.67</w:t>
            </w:r>
          </w:p>
        </w:tc>
        <w:tc>
          <w:tcPr>
            <w:tcW w:w="12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10,176,617.20</w:t>
            </w:r>
          </w:p>
        </w:tc>
        <w:tc>
          <w:tcPr>
            <w:tcW w:w="6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3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-9,793,299.53</w:t>
            </w:r>
          </w:p>
        </w:tc>
        <w:tc>
          <w:tcPr>
            <w:tcW w:w="8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-9,793,299.53</w:t>
            </w:r>
          </w:p>
        </w:tc>
        <w:tc>
          <w:tcPr>
            <w:tcW w:w="6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26"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38" w:name="_Toc989126"/>
      <w:r>
        <w:rPr>
          <w:rFonts w:ascii="宋体" w:hAnsi="宋体" w:eastAsia="宋体" w:cs="宋体"/>
          <w:b/>
          <w:bCs/>
          <w:sz w:val="21"/>
          <w:szCs w:val="21"/>
        </w:rPr>
        <w:t>13、长期应收款</w:t>
      </w:r>
      <w:bookmarkEnd w:id="238"/>
    </w:p>
    <w:p>
      <w:pPr>
        <w:keepNext/>
        <w:keepLines/>
        <w:spacing w:before="300" w:after="300" w:line="280" w:lineRule="exact"/>
        <w:jc w:val="left"/>
        <w:outlineLvl w:val="3"/>
        <w:rPr>
          <w:rFonts w:ascii="宋体" w:hAnsi="宋体" w:eastAsia="宋体" w:cs="宋体"/>
          <w:b/>
          <w:bCs/>
          <w:sz w:val="21"/>
          <w:szCs w:val="21"/>
        </w:rPr>
      </w:pPr>
      <w:bookmarkStart w:id="239" w:name="_Toc989127"/>
      <w:r>
        <w:rPr>
          <w:rFonts w:ascii="宋体" w:hAnsi="宋体" w:eastAsia="宋体" w:cs="宋体"/>
          <w:b/>
          <w:bCs/>
          <w:sz w:val="21"/>
          <w:szCs w:val="21"/>
        </w:rPr>
        <w:t>（1） 长期应收款情况</w:t>
      </w:r>
      <w:bookmarkEnd w:id="2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379"/>
        <w:gridCol w:w="1337"/>
        <w:gridCol w:w="899"/>
        <w:gridCol w:w="1381"/>
        <w:gridCol w:w="1372"/>
        <w:gridCol w:w="862"/>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折现率区间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9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8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关联方往来</w:t>
            </w:r>
          </w:p>
        </w:tc>
        <w:tc>
          <w:tcPr>
            <w:tcW w:w="13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8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8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8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240" w:name="_Toc989128"/>
      <w:r>
        <w:rPr>
          <w:rFonts w:ascii="宋体" w:hAnsi="宋体" w:eastAsia="宋体" w:cs="宋体"/>
          <w:b/>
          <w:bCs/>
          <w:sz w:val="21"/>
          <w:szCs w:val="21"/>
        </w:rPr>
        <w:t>（2） 按坏账计提方法分类披露</w:t>
      </w:r>
      <w:bookmarkEnd w:id="24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1305"/>
        <w:gridCol w:w="797"/>
        <w:gridCol w:w="1277"/>
        <w:gridCol w:w="635"/>
        <w:gridCol w:w="437"/>
        <w:gridCol w:w="1234"/>
        <w:gridCol w:w="549"/>
        <w:gridCol w:w="1217"/>
        <w:gridCol w:w="900"/>
        <w:gridCol w:w="4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45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0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0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91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43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8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11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40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7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12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6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43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5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12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9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40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7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5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79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7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635"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43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34"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549"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1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900"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409"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1305"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79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7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635"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43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34"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549"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121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900"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0"/>
                <w:szCs w:val="21"/>
              </w:rPr>
            </w:pPr>
          </w:p>
        </w:tc>
        <w:tc>
          <w:tcPr>
            <w:tcW w:w="409"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7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1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54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121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6,146,228.91</w:t>
            </w:r>
          </w:p>
        </w:tc>
        <w:tc>
          <w:tcPr>
            <w:tcW w:w="9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6"/>
                <w:szCs w:val="16"/>
              </w:rPr>
            </w:pPr>
            <w:r>
              <w:rPr>
                <w:rFonts w:ascii="宋体" w:hAnsi="宋体" w:eastAsia="宋体" w:cs="宋体"/>
                <w:sz w:val="16"/>
                <w:szCs w:val="16"/>
              </w:rPr>
              <w:t>100.00%</w:t>
            </w:r>
          </w:p>
        </w:tc>
        <w:tc>
          <w:tcPr>
            <w:tcW w:w="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41" w:name="_Toc989129"/>
      <w:r>
        <w:rPr>
          <w:rFonts w:ascii="宋体" w:hAnsi="宋体" w:eastAsia="宋体" w:cs="宋体"/>
          <w:b/>
          <w:bCs/>
          <w:sz w:val="21"/>
          <w:szCs w:val="21"/>
        </w:rPr>
        <w:t>14、长期股权投资</w:t>
      </w:r>
      <w:bookmarkEnd w:id="2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减值准备期初余额</w:t>
            </w:r>
          </w:p>
        </w:tc>
        <w:tc>
          <w:tcPr>
            <w:tcW w:w="5932"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深圳特力吉盟投资有限公司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47,143,720.13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17,107,124.93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49,250,845.06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深圳市特力行投资有限公司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14,200,897.13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-898,585.53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13,302,311.60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小计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61,344,617.26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16,208,539.40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62,553,156.66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19,679,748.68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3,664,296.75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13,958,330.91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湖南昌阳实业股份有限公司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1,810,540.70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1,810,540.70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深圳捷成电子有限公司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3,225,000.00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深圳先导新材料有限公司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4,751,621.62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4,751,621.62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中国汽车工业深圳贸易公司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深圳通用标准件有限公司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深圳中汽华南汽车销售公司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深圳百力源电源有限公司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深圳市益民汽车贸易公司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200,001.10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深圳火炬火花塞工业公司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17,849.20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17,849.20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深圳汉力高技术陶瓷有限公司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深圳市南方汽车维修中心</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小计</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sz w:val="18"/>
                <w:szCs w:val="18"/>
              </w:rPr>
              <w:t>19,679,748.68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23,131,012.62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3,664,296.75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13,958,330.91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23,131,012.62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sz w:val="18"/>
                <w:szCs w:val="18"/>
              </w:rPr>
              <w:t>81,024,365.94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23,131,012.62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76,511,487.57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23,131,012.62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可收回金额按公允价值减去处置费用后的净额确定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可收回金额按预计未来现金流量的现值确定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前述信息与以前年度减值测试采用的信息或外部信息明显不一致的差异原因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公司以前年度减值测试采用信息与当年实际情况明显不一致的差异原因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42" w:name="_Toc989130"/>
      <w:r>
        <w:rPr>
          <w:rFonts w:ascii="宋体" w:hAnsi="宋体" w:eastAsia="宋体" w:cs="宋体"/>
          <w:b/>
          <w:bCs/>
          <w:sz w:val="21"/>
          <w:szCs w:val="21"/>
        </w:rPr>
        <w:t>15、投资性房地产</w:t>
      </w:r>
      <w:bookmarkEnd w:id="242"/>
    </w:p>
    <w:p>
      <w:pPr>
        <w:keepNext/>
        <w:keepLines/>
        <w:spacing w:before="300" w:after="300" w:line="280" w:lineRule="exact"/>
        <w:jc w:val="left"/>
        <w:outlineLvl w:val="3"/>
        <w:rPr>
          <w:rFonts w:ascii="宋体" w:hAnsi="宋体" w:eastAsia="宋体" w:cs="宋体"/>
          <w:b/>
          <w:bCs/>
          <w:sz w:val="18"/>
          <w:szCs w:val="18"/>
        </w:rPr>
      </w:pPr>
      <w:bookmarkStart w:id="243" w:name="_Toc989131"/>
      <w:r>
        <w:rPr>
          <w:rFonts w:ascii="宋体" w:hAnsi="宋体" w:eastAsia="宋体" w:cs="宋体"/>
          <w:b/>
          <w:bCs/>
          <w:sz w:val="18"/>
          <w:szCs w:val="18"/>
        </w:rPr>
        <w:t>（1） 采用成本计量模式的投资性房地产</w:t>
      </w:r>
      <w:bookmarkEnd w:id="243"/>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878"/>
        <w:gridCol w:w="1706"/>
        <w:gridCol w:w="1397"/>
        <w:gridCol w:w="952"/>
        <w:gridCol w:w="17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7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房屋、建筑物</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9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在建工程</w:t>
            </w:r>
          </w:p>
        </w:tc>
        <w:tc>
          <w:tcPr>
            <w:tcW w:w="17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630,510,174.94</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49,079,520.00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679,589,694.94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474,081,142.76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46,587,562.86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520,668,705.62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（1）外购</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（2）存货\固定资产\在建工程转入</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474,081,142.76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474,081,142.76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（4）无形资产转入</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46,587,562.86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46,587,562.86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1,104,591,317.70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95,667,082.86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1,200,258,400.56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二、累计折旧和累计摊销</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 xml:space="preserve">158,767,972.34 </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4,461,583.15</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163,229,555.49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27,023,293.56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1,868,209.71</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28,891,503.27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（1）计提或摊销</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27,023,293.56</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1,868,209.71</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28,891,503.27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 xml:space="preserve"> 185,791,265.90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 xml:space="preserve"> 6,329,792.86</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192,121,058.76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918,800,051.80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89,337,290.00</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1,008,137,341.80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7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471,742,202.60</w:t>
            </w: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44,617,936.85</w:t>
            </w:r>
          </w:p>
        </w:tc>
        <w:tc>
          <w:tcPr>
            <w:tcW w:w="9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516,360,139.45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可收回金额按公允价值减去处置费用后的净额确定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可收回金额按预计未来现金流量的现值确定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前述信息与以前年度减值测试采用的信息或外部信息明显不一致的差异原因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公司以前年度减值测试采用信息与当年实际情况明显不一致的差异原因</w:t>
      </w:r>
    </w:p>
    <w:p>
      <w:pPr>
        <w:keepNext/>
        <w:keepLines/>
        <w:spacing w:before="300" w:after="300" w:line="280" w:lineRule="exact"/>
        <w:jc w:val="left"/>
        <w:outlineLvl w:val="3"/>
        <w:rPr>
          <w:rFonts w:ascii="宋体" w:hAnsi="宋体" w:eastAsia="宋体" w:cs="宋体"/>
          <w:b/>
          <w:bCs/>
          <w:sz w:val="18"/>
          <w:szCs w:val="18"/>
        </w:rPr>
      </w:pPr>
      <w:bookmarkStart w:id="244" w:name="_Toc989132"/>
      <w:r>
        <w:rPr>
          <w:rFonts w:ascii="宋体" w:hAnsi="宋体" w:eastAsia="宋体" w:cs="宋体"/>
          <w:b/>
          <w:bCs/>
          <w:sz w:val="18"/>
          <w:szCs w:val="18"/>
        </w:rPr>
        <w:t>（2） 采用公允价值计量模式的投资性房地产</w:t>
      </w:r>
      <w:bookmarkEnd w:id="24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45" w:name="_Toc989133"/>
      <w:r>
        <w:rPr>
          <w:rFonts w:ascii="宋体" w:hAnsi="宋体" w:eastAsia="宋体" w:cs="宋体"/>
          <w:b/>
          <w:bCs/>
          <w:sz w:val="18"/>
          <w:szCs w:val="18"/>
        </w:rPr>
        <w:t>（3） 未办妥产权证书的投资性房地产情况</w:t>
      </w:r>
      <w:bookmarkEnd w:id="24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笋岗12栋商铺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rPr>
              <w:t>23,</w:t>
            </w:r>
            <w:r>
              <w:rPr>
                <w:rFonts w:hint="eastAsia" w:ascii="宋体" w:hAnsi="宋体" w:eastAsia="宋体" w:cs="宋体"/>
                <w:color w:val="000000"/>
                <w:kern w:val="0"/>
                <w:sz w:val="18"/>
                <w:szCs w:val="18"/>
                <w:lang w:eastAsia="zh"/>
              </w:rPr>
              <w:t>163</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
              </w:rPr>
              <w:t>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中核办公楼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3,953,969.61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笋岗12栋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9,517.89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3</w:t>
            </w:r>
            <w:r>
              <w:rPr>
                <w:rFonts w:hint="eastAsia" w:ascii="宋体" w:hAnsi="宋体" w:cs="宋体"/>
                <w:sz w:val="18"/>
                <w:szCs w:val="18"/>
                <w:lang w:val="en-US" w:eastAsia="zh-CN"/>
              </w:rPr>
              <w:t>,</w:t>
            </w:r>
            <w:r>
              <w:rPr>
                <w:rFonts w:hint="eastAsia" w:ascii="宋体" w:hAnsi="宋体" w:eastAsia="宋体" w:cs="宋体"/>
                <w:sz w:val="18"/>
                <w:szCs w:val="18"/>
              </w:rPr>
              <w:t>986</w:t>
            </w:r>
            <w:r>
              <w:rPr>
                <w:rFonts w:hint="eastAsia" w:ascii="宋体" w:hAnsi="宋体" w:cs="宋体"/>
                <w:sz w:val="18"/>
                <w:szCs w:val="18"/>
                <w:lang w:val="en-US" w:eastAsia="zh-CN"/>
              </w:rPr>
              <w:t>,</w:t>
            </w:r>
            <w:r>
              <w:rPr>
                <w:rFonts w:hint="eastAsia" w:ascii="宋体" w:hAnsi="宋体" w:eastAsia="宋体" w:cs="宋体"/>
                <w:sz w:val="18"/>
                <w:szCs w:val="18"/>
              </w:rPr>
              <w:t>651.25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46" w:name="_Toc989134"/>
      <w:r>
        <w:rPr>
          <w:rFonts w:ascii="宋体" w:hAnsi="宋体" w:eastAsia="宋体" w:cs="宋体"/>
          <w:b/>
          <w:bCs/>
          <w:sz w:val="21"/>
          <w:szCs w:val="21"/>
        </w:rPr>
        <w:t>16、固定资产</w:t>
      </w:r>
      <w:bookmarkEnd w:id="24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78,935,843.49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102,689,546.42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固定资产清理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78,935,843.49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102,689,546.42</w:t>
            </w:r>
          </w:p>
        </w:tc>
      </w:tr>
    </w:tbl>
    <w:p>
      <w:pPr>
        <w:keepNext/>
        <w:keepLines/>
        <w:spacing w:before="300" w:after="300" w:line="280" w:lineRule="exact"/>
        <w:jc w:val="left"/>
        <w:outlineLvl w:val="3"/>
        <w:rPr>
          <w:rFonts w:ascii="宋体" w:hAnsi="宋体" w:eastAsia="宋体" w:cs="宋体"/>
          <w:b/>
          <w:bCs/>
          <w:sz w:val="21"/>
          <w:szCs w:val="21"/>
        </w:rPr>
      </w:pPr>
      <w:bookmarkStart w:id="247" w:name="_Toc989135"/>
      <w:r>
        <w:rPr>
          <w:rFonts w:ascii="宋体" w:hAnsi="宋体" w:eastAsia="宋体" w:cs="宋体"/>
          <w:b/>
          <w:bCs/>
          <w:sz w:val="21"/>
          <w:szCs w:val="21"/>
        </w:rPr>
        <w:t>（1） 固定资产情况</w:t>
      </w:r>
      <w:bookmarkEnd w:id="24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房屋及建筑物</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机器设备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运输设备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电子设备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固定资产装修</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办公及其他设备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282,928,324.11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22,445,763.74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5,475,367.29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10,893,270.06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1,569,294.59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8,869,127.96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332,181,147.75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508,297.35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559,625.73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348,390.45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415,160.52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1,831,474.05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508,297.35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559,625.73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348,390.45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415,160.52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1,831,474.05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（2）在建工程转入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64,346,975.91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6,290,377.75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3,948,465.29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3,823,103.17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427,835.53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1,108,639.69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79,945,397.34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1,608,826.89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3,948,465.29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249,409.37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813,673.24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6,620,374.79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（2）合并范围变化</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64,346,975.91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4,681,550.86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3,573,693.80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427,835.53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294,966.45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73,325,022.55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218,581,348.20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16,663,683.34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2,086,527.73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7,418,557.34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1,141,459.06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8,175,648.79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254,067,224.46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197,126,970.69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10,908,692.02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3,794,318.81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7,350,551.82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949,921.75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4,992,292.92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225,122,748.01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6,059,966.56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1,046,575.2</w:t>
            </w:r>
            <w:r>
              <w:rPr>
                <w:rFonts w:hint="eastAsia" w:ascii="宋体" w:hAnsi="宋体" w:cs="宋体"/>
                <w:sz w:val="18"/>
                <w:szCs w:val="18"/>
                <w:lang w:val="en-US" w:eastAsia="zh-CN"/>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237,810.32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829,644.52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19,252.60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839,459.</w:t>
            </w:r>
            <w:r>
              <w:rPr>
                <w:rFonts w:hint="eastAsia" w:ascii="宋体" w:hAnsi="宋体" w:cs="宋体"/>
                <w:sz w:val="18"/>
                <w:szCs w:val="18"/>
                <w:lang w:val="en-US" w:eastAsia="zh-CN"/>
              </w:rPr>
              <w:t>79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9,032,709.03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6,059,966.56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1,046,575.2</w:t>
            </w:r>
            <w:r>
              <w:rPr>
                <w:rFonts w:hint="eastAsia" w:ascii="宋体" w:hAnsi="宋体" w:cs="宋体"/>
                <w:sz w:val="18"/>
                <w:szCs w:val="18"/>
                <w:lang w:val="en-US" w:eastAsia="zh-CN"/>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237,810.32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829,644.52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19,252.60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839,459.</w:t>
            </w:r>
            <w:r>
              <w:rPr>
                <w:rFonts w:hint="eastAsia" w:ascii="宋体" w:hAnsi="宋体" w:cs="宋体"/>
                <w:sz w:val="18"/>
                <w:szCs w:val="18"/>
                <w:lang w:val="en-US" w:eastAsia="zh-CN"/>
              </w:rPr>
              <w:t>79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9,032,709.03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53,463,711.74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4,223,403.61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2,280,559.64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3,337,058.61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109,098.02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790,293.76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64,204,125.38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426,806.73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1,436,181.30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249,069.27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588,303.21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2,700,360.51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（2）合并范围变化</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53,463,711.74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3,796,596.88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844,378.34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3,087,989.34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109,098.02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201,990.55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61,503,764.87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149,723,225.51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7,731,863.65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1,751,569.49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4,843,137.73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860,076.33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5,041,458.95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169,951,331.66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3,555,385.70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411,135.22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49,190.85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281,382.73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65,593.82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4,368,853.32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465,698.40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249,335.72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123,087.66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838,121.78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465,698.40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249,335.72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123,087.66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838,121.78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5,215.34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21,710.45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26,925.79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2,215.73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（2）合并范围变化</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5,215.34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19,494.72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24,710.06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3,555,385.70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871,618.28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276,816.12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281,382.73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188,681.48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5,180,049.31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auto"/>
                <w:sz w:val="18"/>
                <w:szCs w:val="18"/>
              </w:rPr>
              <w:t>65,302,736.99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auto"/>
                <w:sz w:val="18"/>
                <w:szCs w:val="18"/>
              </w:rPr>
              <w:t xml:space="preserve"> 8,060,201.41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328,793.24</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2,298,603.49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2,945,508.36</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78,935,843.49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auto"/>
                <w:sz w:val="18"/>
                <w:szCs w:val="18"/>
              </w:rPr>
              <w:t>82,245,967.72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auto"/>
                <w:sz w:val="18"/>
                <w:szCs w:val="18"/>
              </w:rPr>
              <w:t xml:space="preserve"> 11,125,936.50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1,674,883.48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3,493,527.39</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337,990.11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3,811,241.22</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102,689,546.42</w:t>
            </w:r>
          </w:p>
        </w:tc>
      </w:tr>
    </w:tbl>
    <w:p>
      <w:pPr>
        <w:keepNext/>
        <w:keepLines/>
        <w:spacing w:before="300" w:after="300" w:line="280" w:lineRule="exact"/>
        <w:jc w:val="left"/>
        <w:outlineLvl w:val="3"/>
        <w:rPr>
          <w:rFonts w:ascii="宋体" w:hAnsi="宋体" w:eastAsia="宋体" w:cs="宋体"/>
          <w:b/>
          <w:bCs/>
          <w:sz w:val="21"/>
          <w:szCs w:val="21"/>
        </w:rPr>
      </w:pPr>
      <w:bookmarkStart w:id="248" w:name="_Toc989136"/>
      <w:r>
        <w:rPr>
          <w:rFonts w:ascii="宋体" w:hAnsi="宋体" w:eastAsia="宋体" w:cs="宋体"/>
          <w:b/>
          <w:bCs/>
          <w:sz w:val="21"/>
          <w:szCs w:val="21"/>
        </w:rPr>
        <w:t>（2） 通过经营租赁租出的固定资产</w:t>
      </w:r>
      <w:bookmarkEnd w:id="24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房屋及建筑物</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59,573,894.32</w:t>
            </w:r>
          </w:p>
        </w:tc>
      </w:tr>
    </w:tbl>
    <w:p>
      <w:pPr>
        <w:keepNext/>
        <w:keepLines/>
        <w:spacing w:before="300" w:after="300" w:line="280" w:lineRule="exact"/>
        <w:jc w:val="left"/>
        <w:outlineLvl w:val="3"/>
        <w:rPr>
          <w:rFonts w:ascii="宋体" w:hAnsi="宋体" w:eastAsia="宋体" w:cs="宋体"/>
          <w:b/>
          <w:bCs/>
          <w:sz w:val="21"/>
          <w:szCs w:val="21"/>
        </w:rPr>
      </w:pPr>
      <w:bookmarkStart w:id="249" w:name="_Toc989137"/>
      <w:r>
        <w:rPr>
          <w:rFonts w:ascii="宋体" w:hAnsi="宋体" w:eastAsia="宋体" w:cs="宋体"/>
          <w:b/>
          <w:bCs/>
          <w:sz w:val="21"/>
          <w:szCs w:val="21"/>
        </w:rPr>
        <w:t>（3） 未办妥产权证书的固定资产情况</w:t>
      </w:r>
      <w:bookmarkEnd w:id="24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527"/>
        <w:gridCol w:w="2899"/>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89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永通大厦</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22,426,095.19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汽车大厦</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20,682,213.64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特力大厦停车场</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7,451,101.64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停车场无法办理房产证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桃园路1#厂房、2#厂房、3#厂房3-5楼</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2,752,765.03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特力大厦转换层</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1,202,660.36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无法办理房产证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桃花园第16栋公寓</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1,006,978.98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仓库</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707,217.25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宝安商住楼首层</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681,044.12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水贝中天综合楼</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510,646.80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贸易部仓库</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49,143.49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松泉公寓（混合）</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10,086.79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布心发电机房</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8,046.78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lang w:eastAsia="zh"/>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lang w:eastAsia="zh"/>
              </w:rPr>
              <w:t>布心5-7号厂房商铺</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35,578.82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eastAsia="zh"/>
              </w:rPr>
            </w:pPr>
            <w:r>
              <w:rPr>
                <w:rFonts w:hint="eastAsia" w:ascii="宋体" w:hAnsi="宋体" w:eastAsia="宋体" w:cs="宋体"/>
                <w:sz w:val="18"/>
                <w:szCs w:val="18"/>
                <w:lang w:eastAsia="zh"/>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人民北路招待所</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5,902.41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由于历史遗留原因，未办理房产证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289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57,529,481.30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250" w:name="_Toc989138"/>
      <w:r>
        <w:rPr>
          <w:rFonts w:ascii="宋体" w:hAnsi="宋体" w:eastAsia="宋体" w:cs="宋体"/>
          <w:b/>
          <w:bCs/>
          <w:sz w:val="21"/>
          <w:szCs w:val="21"/>
        </w:rPr>
        <w:t>（4） 固定资产的减值测试情况</w:t>
      </w:r>
      <w:bookmarkEnd w:id="25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51" w:name="_Toc989139"/>
      <w:r>
        <w:rPr>
          <w:rFonts w:ascii="宋体" w:hAnsi="宋体" w:eastAsia="宋体" w:cs="宋体"/>
          <w:b/>
          <w:bCs/>
          <w:sz w:val="21"/>
          <w:szCs w:val="21"/>
        </w:rPr>
        <w:t>17、在建工程</w:t>
      </w:r>
      <w:bookmarkEnd w:id="2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r>
    </w:tbl>
    <w:p>
      <w:pPr>
        <w:keepNext/>
        <w:keepLines/>
        <w:spacing w:before="300" w:after="300" w:line="280" w:lineRule="exact"/>
        <w:jc w:val="left"/>
        <w:outlineLvl w:val="3"/>
        <w:rPr>
          <w:rFonts w:ascii="宋体" w:hAnsi="宋体" w:eastAsia="宋体" w:cs="宋体"/>
          <w:b/>
          <w:bCs/>
          <w:sz w:val="21"/>
          <w:szCs w:val="21"/>
        </w:rPr>
      </w:pPr>
      <w:bookmarkStart w:id="252" w:name="_Toc989140"/>
      <w:r>
        <w:rPr>
          <w:rFonts w:ascii="宋体" w:hAnsi="宋体" w:eastAsia="宋体" w:cs="宋体"/>
          <w:b/>
          <w:bCs/>
          <w:sz w:val="21"/>
          <w:szCs w:val="21"/>
        </w:rPr>
        <w:t>（1） 在建工程情况</w:t>
      </w:r>
      <w:bookmarkEnd w:id="2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116"/>
        <w:gridCol w:w="1397"/>
        <w:gridCol w:w="1618"/>
        <w:gridCol w:w="1176"/>
        <w:gridCol w:w="15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9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7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6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1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5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特力金钻交易大厦</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409,808,714.95</w:t>
            </w: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409,808,714.95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特力珠宝大厦负一层下沉区域展厅和宝库区域改造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4,740,393.23</w:t>
            </w: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4,740,393.23</w:t>
            </w: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中天综合楼改造提升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808,507.65</w:t>
            </w: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808,507.65</w:t>
            </w: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特力金钻大厦裙楼装修工程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108,945.00</w:t>
            </w: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108,945.00</w:t>
            </w: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1,621,724.17</w:t>
            </w: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1,621,724.17</w:t>
            </w: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124,844.32</w:t>
            </w: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124,844.32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1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7,279,570.05</w:t>
            </w:r>
          </w:p>
        </w:tc>
        <w:tc>
          <w:tcPr>
            <w:tcW w:w="16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c>
          <w:tcPr>
            <w:tcW w:w="11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409,933,559.27</w:t>
            </w:r>
          </w:p>
        </w:tc>
      </w:tr>
    </w:tbl>
    <w:p>
      <w:pPr>
        <w:keepNext/>
        <w:keepLines/>
        <w:spacing w:before="300" w:after="300" w:line="280" w:lineRule="exact"/>
        <w:jc w:val="left"/>
        <w:outlineLvl w:val="3"/>
        <w:rPr>
          <w:rFonts w:ascii="宋体" w:hAnsi="宋体" w:eastAsia="宋体" w:cs="宋体"/>
          <w:b/>
          <w:bCs/>
          <w:sz w:val="21"/>
          <w:szCs w:val="21"/>
        </w:rPr>
      </w:pPr>
      <w:bookmarkStart w:id="253" w:name="_Toc989141"/>
      <w:r>
        <w:rPr>
          <w:rFonts w:ascii="宋体" w:hAnsi="宋体" w:eastAsia="宋体" w:cs="宋体"/>
          <w:b/>
          <w:bCs/>
          <w:sz w:val="21"/>
          <w:szCs w:val="21"/>
        </w:rPr>
        <w:t>（2） 重要在建工程项目本期变动情况</w:t>
      </w:r>
      <w:bookmarkEnd w:id="25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636"/>
        <w:gridCol w:w="660"/>
        <w:gridCol w:w="927"/>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预算数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本期转入固定资产金额</w:t>
            </w:r>
          </w:p>
        </w:tc>
        <w:tc>
          <w:tcPr>
            <w:tcW w:w="6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本期其他减少金额</w:t>
            </w:r>
          </w:p>
        </w:tc>
        <w:tc>
          <w:tcPr>
            <w:tcW w:w="6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工程累计投入占预算比例</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工程进度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利息资本化累计金额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其中：本期利息资本化金额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本期利息资本化率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资金来源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特力金钻交易大厦</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491,060,000.00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409,808,714.95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53,179,815.06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462,988,530.01</w:t>
            </w:r>
          </w:p>
        </w:tc>
        <w:tc>
          <w:tcPr>
            <w:tcW w:w="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w:t>
            </w:r>
            <w:r>
              <w:rPr>
                <w:rFonts w:hint="eastAsia" w:ascii="宋体" w:hAnsi="宋体" w:cs="宋体"/>
                <w:sz w:val="18"/>
                <w:szCs w:val="18"/>
                <w:lang w:val="en-US" w:eastAsia="zh-CN"/>
              </w:rPr>
              <w:t>4</w:t>
            </w:r>
            <w:r>
              <w:rPr>
                <w:rFonts w:ascii="宋体" w:hAnsi="宋体" w:eastAsia="宋体" w:cs="宋体"/>
                <w:sz w:val="18"/>
                <w:szCs w:val="18"/>
              </w:rPr>
              <w:t>.</w:t>
            </w:r>
            <w:r>
              <w:rPr>
                <w:rFonts w:hint="eastAsia" w:ascii="宋体" w:hAnsi="宋体" w:cs="宋体"/>
                <w:sz w:val="18"/>
                <w:szCs w:val="18"/>
                <w:lang w:val="en-US" w:eastAsia="zh-CN"/>
              </w:rPr>
              <w:t>28</w:t>
            </w: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8,087,368.43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1,776,046.66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491,060,000.00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409,808,714.95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53,179,815.06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462,988,530.01</w:t>
            </w:r>
          </w:p>
        </w:tc>
        <w:tc>
          <w:tcPr>
            <w:tcW w:w="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927"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eastAsia" w:ascii="宋体" w:hAnsi="宋体" w:cs="宋体"/>
                <w:sz w:val="18"/>
                <w:szCs w:val="18"/>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eastAsia" w:ascii="宋体" w:hAnsi="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8,087,368.43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1,776,046.66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eastAsia" w:ascii="宋体" w:hAnsi="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254" w:name="_Toc989142"/>
      <w:r>
        <w:rPr>
          <w:rFonts w:ascii="宋体" w:hAnsi="宋体" w:eastAsia="宋体" w:cs="宋体"/>
          <w:b/>
          <w:bCs/>
          <w:sz w:val="21"/>
          <w:szCs w:val="21"/>
        </w:rPr>
        <w:t>（3） 在建工程的减值测试情况</w:t>
      </w:r>
      <w:bookmarkEnd w:id="25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55" w:name="_Toc989143"/>
      <w:r>
        <w:rPr>
          <w:rFonts w:ascii="宋体" w:hAnsi="宋体" w:eastAsia="宋体" w:cs="宋体"/>
          <w:b/>
          <w:bCs/>
          <w:sz w:val="21"/>
          <w:szCs w:val="21"/>
        </w:rPr>
        <w:t>18、使用权资产</w:t>
      </w:r>
      <w:bookmarkEnd w:id="255"/>
    </w:p>
    <w:p>
      <w:pPr>
        <w:keepNext/>
        <w:keepLines/>
        <w:spacing w:before="300" w:after="300" w:line="280" w:lineRule="exact"/>
        <w:jc w:val="left"/>
        <w:outlineLvl w:val="3"/>
        <w:rPr>
          <w:rFonts w:ascii="宋体" w:hAnsi="宋体" w:eastAsia="宋体" w:cs="宋体"/>
          <w:b/>
          <w:bCs/>
          <w:sz w:val="21"/>
          <w:szCs w:val="21"/>
        </w:rPr>
      </w:pPr>
      <w:bookmarkStart w:id="256" w:name="_Toc989144"/>
      <w:r>
        <w:rPr>
          <w:rFonts w:ascii="宋体" w:hAnsi="宋体" w:eastAsia="宋体" w:cs="宋体"/>
          <w:b/>
          <w:bCs/>
          <w:sz w:val="21"/>
          <w:szCs w:val="21"/>
        </w:rPr>
        <w:t>（1） 使用权资产情况</w:t>
      </w:r>
      <w:bookmarkEnd w:id="25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房屋及建筑物</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10,149,723.83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10,149,723.83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74,305,047.63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74,305,047.63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（1）租入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74,305,047.63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74,305,047.63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3,823,465.75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3,823,465.75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（1）到期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3,823,465.75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3,823,465.75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80,631,305.71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80,631,305.71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5,968,480.97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5,968,480.97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6,481,996.22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6,481,996.22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6,481,996.22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6,481,996.22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3,723,887.98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3,723,887.98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（2）到期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3,723,887.98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3,723,887.98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8,726,589.21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8,726,589.21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71,904,716.50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71,904,716.50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4,181,242.86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4,181,242.86</w:t>
            </w:r>
          </w:p>
        </w:tc>
      </w:tr>
    </w:tbl>
    <w:p>
      <w:pPr>
        <w:keepNext/>
        <w:keepLines/>
        <w:spacing w:before="300" w:after="300" w:line="280" w:lineRule="exact"/>
        <w:jc w:val="left"/>
        <w:outlineLvl w:val="3"/>
        <w:rPr>
          <w:rFonts w:ascii="宋体" w:hAnsi="宋体" w:eastAsia="宋体" w:cs="宋体"/>
          <w:b/>
          <w:bCs/>
          <w:sz w:val="21"/>
          <w:szCs w:val="21"/>
        </w:rPr>
      </w:pPr>
      <w:bookmarkStart w:id="257" w:name="_Toc989145"/>
      <w:r>
        <w:rPr>
          <w:rFonts w:ascii="宋体" w:hAnsi="宋体" w:eastAsia="宋体" w:cs="宋体"/>
          <w:b/>
          <w:bCs/>
          <w:sz w:val="21"/>
          <w:szCs w:val="21"/>
        </w:rPr>
        <w:t>（2） 使用权资产的减值测试情况</w:t>
      </w:r>
      <w:bookmarkEnd w:id="25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58" w:name="_Toc989146"/>
      <w:r>
        <w:rPr>
          <w:rFonts w:ascii="宋体" w:hAnsi="宋体" w:eastAsia="宋体" w:cs="宋体"/>
          <w:b/>
          <w:bCs/>
          <w:sz w:val="21"/>
          <w:szCs w:val="21"/>
        </w:rPr>
        <w:t>19、无形资产</w:t>
      </w:r>
      <w:bookmarkEnd w:id="258"/>
    </w:p>
    <w:p>
      <w:pPr>
        <w:keepNext/>
        <w:keepLines/>
        <w:spacing w:before="300" w:after="300" w:line="280" w:lineRule="exact"/>
        <w:jc w:val="left"/>
        <w:outlineLvl w:val="3"/>
        <w:rPr>
          <w:rFonts w:ascii="宋体" w:hAnsi="宋体" w:eastAsia="宋体" w:cs="宋体"/>
          <w:b/>
          <w:bCs/>
          <w:sz w:val="21"/>
          <w:szCs w:val="21"/>
        </w:rPr>
      </w:pPr>
      <w:bookmarkStart w:id="259" w:name="_Toc989147"/>
      <w:r>
        <w:rPr>
          <w:rFonts w:ascii="宋体" w:hAnsi="宋体" w:eastAsia="宋体" w:cs="宋体"/>
          <w:b/>
          <w:bCs/>
          <w:sz w:val="21"/>
          <w:szCs w:val="21"/>
        </w:rPr>
        <w:t>（1） 无形资产情况</w:t>
      </w:r>
      <w:bookmarkEnd w:id="25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41"/>
        <w:gridCol w:w="1869"/>
        <w:gridCol w:w="703"/>
        <w:gridCol w:w="694"/>
        <w:gridCol w:w="1140"/>
        <w:gridCol w:w="1491"/>
        <w:gridCol w:w="15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8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专利权</w:t>
            </w:r>
          </w:p>
        </w:tc>
        <w:tc>
          <w:tcPr>
            <w:tcW w:w="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非专利技术</w:t>
            </w: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商标</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计算机软件</w:t>
            </w:r>
          </w:p>
        </w:tc>
        <w:tc>
          <w:tcPr>
            <w:tcW w:w="15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50,661,450.00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6,981,220.20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57,771,170.20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1,485,157.77</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388,165.70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1,873,323.47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388,165.70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388,165.70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（2）内部研发</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（4）其他增加</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1,485,157.77</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1,485,157.77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50,178,756.77</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50,351,756.77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（2）转入投资性房地产</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50,178,756.77</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50,178,756.77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（3）合并范围变动</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1,967,851.00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128,500.00</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7,196,385.90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9,292,736.90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二、累计摊销</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3,945,345.32</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105,675.32</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3,912,133.84</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7,963,154.48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448,525.08</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5,312.46</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724,168.18</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1,178,005.72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448,525.08</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5,312.46</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724,168.18</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1,178,005.72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3,591,193.91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3,764,193.91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（2）转入投资性房地产</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3,591,193.91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3,591,193.91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（3）合并范围变动</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802,676.49</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110,987.78</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4,463,302.02</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5,376,966.29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1,165,174.51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17,512.22</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2,733,083.88</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3,915,770.61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46,716,104.68</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22,824.68</w:t>
            </w:r>
          </w:p>
        </w:tc>
        <w:tc>
          <w:tcPr>
            <w:tcW w:w="149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3,069,086.36</w:t>
            </w:r>
          </w:p>
        </w:tc>
        <w:tc>
          <w:tcPr>
            <w:tcW w:w="150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49,808,015.72</w:t>
            </w:r>
          </w:p>
        </w:tc>
      </w:tr>
    </w:tbl>
    <w:p>
      <w:pPr>
        <w:keepNext/>
        <w:keepLines/>
        <w:spacing w:before="300" w:after="300" w:line="280" w:lineRule="exact"/>
        <w:jc w:val="left"/>
        <w:outlineLvl w:val="3"/>
        <w:rPr>
          <w:rFonts w:ascii="宋体" w:hAnsi="宋体" w:eastAsia="宋体" w:cs="宋体"/>
          <w:b/>
          <w:bCs/>
          <w:sz w:val="21"/>
          <w:szCs w:val="21"/>
        </w:rPr>
      </w:pPr>
      <w:bookmarkStart w:id="260" w:name="_Toc989148"/>
      <w:r>
        <w:rPr>
          <w:rFonts w:ascii="宋体" w:hAnsi="宋体" w:eastAsia="宋体" w:cs="宋体"/>
          <w:b/>
          <w:bCs/>
          <w:sz w:val="21"/>
          <w:szCs w:val="21"/>
        </w:rPr>
        <w:t>（2） 无形资产的减值测试情况</w:t>
      </w:r>
      <w:bookmarkEnd w:id="26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61" w:name="_Toc989149"/>
      <w:r>
        <w:rPr>
          <w:rFonts w:ascii="宋体" w:hAnsi="宋体" w:eastAsia="宋体" w:cs="宋体"/>
          <w:b/>
          <w:bCs/>
          <w:sz w:val="21"/>
          <w:szCs w:val="21"/>
        </w:rPr>
        <w:t>20、长期待摊费用</w:t>
      </w:r>
      <w:bookmarkEnd w:id="26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本期摊销金额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其他减少金额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装修工程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25,876,099.49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18,963,461.68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6,447,382.15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38,392,179.02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25,876,099.49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18,963,461.68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6,447,382.15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38,392,179.02</w:t>
            </w:r>
          </w:p>
        </w:tc>
      </w:tr>
    </w:tbl>
    <w:p>
      <w:pPr>
        <w:keepNext/>
        <w:keepLines/>
        <w:spacing w:before="300" w:after="300" w:line="280" w:lineRule="exact"/>
        <w:jc w:val="left"/>
        <w:outlineLvl w:val="2"/>
        <w:rPr>
          <w:rFonts w:ascii="宋体" w:hAnsi="宋体" w:eastAsia="宋体" w:cs="宋体"/>
          <w:b/>
          <w:bCs/>
          <w:sz w:val="21"/>
          <w:szCs w:val="21"/>
        </w:rPr>
      </w:pPr>
      <w:bookmarkStart w:id="262" w:name="_Toc989150"/>
      <w:r>
        <w:rPr>
          <w:rFonts w:ascii="宋体" w:hAnsi="宋体" w:eastAsia="宋体" w:cs="宋体"/>
          <w:b/>
          <w:bCs/>
          <w:sz w:val="21"/>
          <w:szCs w:val="21"/>
        </w:rPr>
        <w:t>21、递延所得税资产/递延所得税负债</w:t>
      </w:r>
      <w:bookmarkEnd w:id="262"/>
    </w:p>
    <w:p>
      <w:pPr>
        <w:keepNext/>
        <w:keepLines/>
        <w:spacing w:before="300" w:after="300" w:line="280" w:lineRule="exact"/>
        <w:jc w:val="left"/>
        <w:outlineLvl w:val="3"/>
        <w:rPr>
          <w:rFonts w:ascii="宋体" w:hAnsi="宋体" w:eastAsia="宋体" w:cs="宋体"/>
          <w:b/>
          <w:bCs/>
          <w:sz w:val="21"/>
          <w:szCs w:val="21"/>
        </w:rPr>
      </w:pPr>
      <w:bookmarkStart w:id="263" w:name="_Toc989151"/>
      <w:r>
        <w:rPr>
          <w:rFonts w:ascii="宋体" w:hAnsi="宋体" w:eastAsia="宋体" w:cs="宋体"/>
          <w:b/>
          <w:bCs/>
          <w:sz w:val="21"/>
          <w:szCs w:val="21"/>
        </w:rPr>
        <w:t>（1） 未经抵销的递延所得税资产</w:t>
      </w:r>
      <w:bookmarkEnd w:id="26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9"/>
        <w:gridCol w:w="1785"/>
        <w:gridCol w:w="1665"/>
        <w:gridCol w:w="1710"/>
        <w:gridCol w:w="16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45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35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6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c>
          <w:tcPr>
            <w:tcW w:w="17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6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12,429,491.12</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3,107,372.77</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信用减值准备</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35,059,422.28</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8,764,855.57</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34,072,935.08</w:t>
            </w: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8,518,233.77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687,408.75</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171,852.19</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交易性金融资产公允价值变动</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13,705,388.76</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3,426,347.19</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其他权益工具投资公允价值变动</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9,793,299.53</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2,448,324.88</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租赁负债</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79,671,619.30</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19,917,904.83</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3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7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151,346,629.74</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37,836,657.43</w:t>
            </w:r>
          </w:p>
        </w:tc>
        <w:tc>
          <w:tcPr>
            <w:tcW w:w="17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34,072,935.08</w:t>
            </w:r>
          </w:p>
        </w:tc>
        <w:tc>
          <w:tcPr>
            <w:tcW w:w="16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8,518,233.77</w:t>
            </w:r>
          </w:p>
        </w:tc>
      </w:tr>
    </w:tbl>
    <w:p>
      <w:pPr>
        <w:keepNext/>
        <w:keepLines/>
        <w:spacing w:before="300" w:after="300" w:line="280" w:lineRule="exact"/>
        <w:jc w:val="left"/>
        <w:outlineLvl w:val="3"/>
        <w:rPr>
          <w:rFonts w:ascii="宋体" w:hAnsi="宋体" w:eastAsia="宋体" w:cs="宋体"/>
          <w:b/>
          <w:bCs/>
          <w:sz w:val="21"/>
          <w:szCs w:val="21"/>
        </w:rPr>
      </w:pPr>
      <w:bookmarkStart w:id="264" w:name="_Toc989152"/>
      <w:r>
        <w:rPr>
          <w:rFonts w:ascii="宋体" w:hAnsi="宋体" w:eastAsia="宋体" w:cs="宋体"/>
          <w:b/>
          <w:bCs/>
          <w:sz w:val="21"/>
          <w:szCs w:val="21"/>
        </w:rPr>
        <w:t>（2） 未经抵销的递延所得税负债</w:t>
      </w:r>
      <w:bookmarkEnd w:id="2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固定资产加速折旧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562,445.00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140,611.25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分摊免租期收入所引起所得税时间差异</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19,145,855.24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4,786,463.81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4,540,124.44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1,135,031.11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剩余股权公允价值计量</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67,398,061.80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16,849,515.45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使用权资产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74,533,199.60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18,633,299.90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161,639,561.64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40,409,890.41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4,540,124.44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1,135,031.11</w:t>
            </w:r>
          </w:p>
        </w:tc>
      </w:tr>
    </w:tbl>
    <w:p>
      <w:pPr>
        <w:keepNext/>
        <w:keepLines/>
        <w:spacing w:before="300" w:after="300" w:line="280" w:lineRule="exact"/>
        <w:jc w:val="left"/>
        <w:outlineLvl w:val="3"/>
        <w:rPr>
          <w:rFonts w:ascii="宋体" w:hAnsi="宋体" w:eastAsia="宋体" w:cs="宋体"/>
          <w:b/>
          <w:bCs/>
          <w:sz w:val="21"/>
          <w:szCs w:val="21"/>
        </w:rPr>
      </w:pPr>
      <w:bookmarkStart w:id="265" w:name="_Toc989153"/>
      <w:r>
        <w:rPr>
          <w:rFonts w:ascii="宋体" w:hAnsi="宋体" w:eastAsia="宋体" w:cs="宋体"/>
          <w:b/>
          <w:bCs/>
          <w:sz w:val="21"/>
          <w:szCs w:val="21"/>
        </w:rPr>
        <w:t>（3） 以抵销后净额列示的递延所得税资产或负债</w:t>
      </w:r>
      <w:bookmarkEnd w:id="2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递延所得税资产和负债期末互抵金额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递延所得税资产和负债期初互抵金额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37,836,657.43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8,518,233.77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40,409,890.41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1,135,031.11</w:t>
            </w:r>
          </w:p>
        </w:tc>
      </w:tr>
    </w:tbl>
    <w:p>
      <w:pPr>
        <w:keepNext/>
        <w:keepLines/>
        <w:spacing w:before="300" w:after="300" w:line="280" w:lineRule="exact"/>
        <w:jc w:val="left"/>
        <w:outlineLvl w:val="3"/>
        <w:rPr>
          <w:rFonts w:ascii="宋体" w:hAnsi="宋体" w:eastAsia="宋体" w:cs="宋体"/>
          <w:b/>
          <w:bCs/>
          <w:sz w:val="21"/>
          <w:szCs w:val="21"/>
        </w:rPr>
      </w:pPr>
      <w:bookmarkStart w:id="266" w:name="_Toc989154"/>
      <w:r>
        <w:rPr>
          <w:rFonts w:ascii="宋体" w:hAnsi="宋体" w:eastAsia="宋体" w:cs="宋体"/>
          <w:b/>
          <w:bCs/>
          <w:sz w:val="21"/>
          <w:szCs w:val="21"/>
        </w:rPr>
        <w:t>（4） 未确认递延所得税资产明细</w:t>
      </w:r>
      <w:bookmarkEnd w:id="26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可抵扣暂时性差异</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123,519,997.09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128,561,177.79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22,073,706.37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23,458,252.21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145,593,703.46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152,019,430.00</w:t>
            </w:r>
          </w:p>
        </w:tc>
      </w:tr>
    </w:tbl>
    <w:p>
      <w:pPr>
        <w:keepNext/>
        <w:keepLines/>
        <w:spacing w:before="300" w:after="300" w:line="280" w:lineRule="exact"/>
        <w:jc w:val="left"/>
        <w:outlineLvl w:val="3"/>
        <w:rPr>
          <w:rFonts w:ascii="宋体" w:hAnsi="宋体" w:eastAsia="宋体" w:cs="宋体"/>
          <w:b/>
          <w:bCs/>
          <w:sz w:val="21"/>
          <w:szCs w:val="21"/>
        </w:rPr>
      </w:pPr>
      <w:bookmarkStart w:id="267" w:name="_Toc989155"/>
      <w:r>
        <w:rPr>
          <w:rFonts w:ascii="宋体" w:hAnsi="宋体" w:eastAsia="宋体" w:cs="宋体"/>
          <w:b/>
          <w:bCs/>
          <w:sz w:val="21"/>
          <w:szCs w:val="21"/>
        </w:rPr>
        <w:t>（5） 未确认递延所得税资产的可抵扣亏损将于以下年度到期</w:t>
      </w:r>
      <w:bookmarkEnd w:id="26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113,396.51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3,230,232.35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9,002,510.80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2026年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8,589,171.35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8,816,324.17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2027年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4,821,009.13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5,526,020.73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2028年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5,433,293.54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22,073,706.37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23,458,252.21</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68" w:name="_Toc989156"/>
      <w:r>
        <w:rPr>
          <w:rFonts w:ascii="宋体" w:hAnsi="宋体" w:eastAsia="宋体" w:cs="宋体"/>
          <w:b/>
          <w:bCs/>
          <w:sz w:val="21"/>
          <w:szCs w:val="21"/>
        </w:rPr>
        <w:t>22、其他非流动资产</w:t>
      </w:r>
      <w:bookmarkEnd w:id="26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62"/>
        <w:gridCol w:w="1515"/>
        <w:gridCol w:w="1035"/>
        <w:gridCol w:w="1396"/>
        <w:gridCol w:w="1550"/>
        <w:gridCol w:w="1063"/>
        <w:gridCol w:w="15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946"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0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5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0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5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预付工程款</w:t>
            </w:r>
          </w:p>
        </w:tc>
        <w:tc>
          <w:tcPr>
            <w:tcW w:w="15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47,071,710.51</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47,071,710.51</w:t>
            </w:r>
          </w:p>
        </w:tc>
        <w:tc>
          <w:tcPr>
            <w:tcW w:w="15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49,631,706.19</w:t>
            </w: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49,631,706.19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增值税借方余额重分类</w:t>
            </w:r>
          </w:p>
        </w:tc>
        <w:tc>
          <w:tcPr>
            <w:tcW w:w="15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8,385,565.03</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8,385,565.03</w:t>
            </w:r>
          </w:p>
        </w:tc>
        <w:tc>
          <w:tcPr>
            <w:tcW w:w="15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8,572,664.86</w:t>
            </w: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8,572,664.86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一年以上到期的大额存单及利息</w:t>
            </w:r>
          </w:p>
        </w:tc>
        <w:tc>
          <w:tcPr>
            <w:tcW w:w="15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41,431,777.78</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41,431,777.78</w:t>
            </w:r>
          </w:p>
        </w:tc>
        <w:tc>
          <w:tcPr>
            <w:tcW w:w="15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96,322,575.78</w:t>
            </w: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96,322,575.78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预付软件款</w:t>
            </w:r>
          </w:p>
        </w:tc>
        <w:tc>
          <w:tcPr>
            <w:tcW w:w="15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164,000.00</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164,000.00</w:t>
            </w:r>
          </w:p>
        </w:tc>
        <w:tc>
          <w:tcPr>
            <w:tcW w:w="15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5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97,053,053.32</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97,053,053.32</w:t>
            </w:r>
          </w:p>
        </w:tc>
        <w:tc>
          <w:tcPr>
            <w:tcW w:w="15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154,526,946.83</w:t>
            </w: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154,526,946.83</w:t>
            </w:r>
          </w:p>
        </w:tc>
      </w:tr>
    </w:tbl>
    <w:p>
      <w:pPr>
        <w:keepNext/>
        <w:keepLines/>
        <w:spacing w:before="300" w:after="300" w:line="280" w:lineRule="exact"/>
        <w:jc w:val="left"/>
        <w:outlineLvl w:val="2"/>
        <w:rPr>
          <w:rFonts w:ascii="宋体" w:hAnsi="宋体" w:eastAsia="宋体" w:cs="宋体"/>
          <w:b/>
          <w:bCs/>
          <w:sz w:val="21"/>
          <w:szCs w:val="21"/>
        </w:rPr>
      </w:pPr>
      <w:bookmarkStart w:id="269" w:name="_Toc989157"/>
      <w:r>
        <w:rPr>
          <w:rFonts w:ascii="宋体" w:hAnsi="宋体" w:eastAsia="宋体" w:cs="宋体"/>
          <w:b/>
          <w:bCs/>
          <w:sz w:val="21"/>
          <w:szCs w:val="21"/>
        </w:rPr>
        <w:t>23、所有权或使用权受到限制的资产</w:t>
      </w:r>
      <w:bookmarkEnd w:id="2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196"/>
        <w:gridCol w:w="1031"/>
        <w:gridCol w:w="930"/>
        <w:gridCol w:w="1127"/>
        <w:gridCol w:w="1071"/>
        <w:gridCol w:w="967"/>
        <w:gridCol w:w="11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22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w:t>
            </w:r>
          </w:p>
        </w:tc>
        <w:tc>
          <w:tcPr>
            <w:tcW w:w="434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1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受限类型</w:t>
            </w:r>
          </w:p>
        </w:tc>
        <w:tc>
          <w:tcPr>
            <w:tcW w:w="9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受限情况</w:t>
            </w:r>
          </w:p>
        </w:tc>
        <w:tc>
          <w:tcPr>
            <w:tcW w:w="1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9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受限类型</w:t>
            </w:r>
          </w:p>
        </w:tc>
        <w:tc>
          <w:tcPr>
            <w:tcW w:w="11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60,117,573.95</w:t>
            </w:r>
          </w:p>
        </w:tc>
        <w:tc>
          <w:tcPr>
            <w:tcW w:w="11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60,117,573.95</w:t>
            </w:r>
          </w:p>
        </w:tc>
        <w:tc>
          <w:tcPr>
            <w:tcW w:w="10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保证金</w:t>
            </w:r>
          </w:p>
        </w:tc>
        <w:tc>
          <w:tcPr>
            <w:tcW w:w="9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用于银行黄金租赁的保证金和期货保证金</w:t>
            </w:r>
          </w:p>
        </w:tc>
        <w:tc>
          <w:tcPr>
            <w:tcW w:w="11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21,621,498.00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21,621,498.00</w:t>
            </w:r>
          </w:p>
        </w:tc>
        <w:tc>
          <w:tcPr>
            <w:tcW w:w="9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监管资金和保证金</w:t>
            </w:r>
          </w:p>
        </w:tc>
        <w:tc>
          <w:tcPr>
            <w:tcW w:w="11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特力-吉盟黄金首饰产业园升级改造项目03地块项目的监管资金和期货期权账户保证金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无形资产</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9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45,447,359.01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45,447,359.01</w:t>
            </w:r>
          </w:p>
        </w:tc>
        <w:tc>
          <w:tcPr>
            <w:tcW w:w="96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抵押</w:t>
            </w:r>
          </w:p>
        </w:tc>
        <w:tc>
          <w:tcPr>
            <w:tcW w:w="11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银行借款抵押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60,117,573.95</w:t>
            </w:r>
          </w:p>
        </w:tc>
        <w:tc>
          <w:tcPr>
            <w:tcW w:w="11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60,117,573.95</w:t>
            </w:r>
          </w:p>
        </w:tc>
        <w:tc>
          <w:tcPr>
            <w:tcW w:w="103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93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1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67,068,857.01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67,068,857.01</w:t>
            </w:r>
          </w:p>
        </w:tc>
        <w:tc>
          <w:tcPr>
            <w:tcW w:w="967"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175"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70" w:name="_Toc989158"/>
      <w:r>
        <w:rPr>
          <w:rFonts w:ascii="宋体" w:hAnsi="宋体" w:eastAsia="宋体" w:cs="宋体"/>
          <w:b/>
          <w:bCs/>
          <w:sz w:val="21"/>
          <w:szCs w:val="21"/>
        </w:rPr>
        <w:t>24、短期借款</w:t>
      </w:r>
      <w:bookmarkEnd w:id="270"/>
    </w:p>
    <w:p>
      <w:pPr>
        <w:keepNext/>
        <w:keepLines/>
        <w:spacing w:before="300" w:after="300" w:line="280" w:lineRule="exact"/>
        <w:jc w:val="left"/>
        <w:outlineLvl w:val="3"/>
        <w:rPr>
          <w:rFonts w:ascii="宋体" w:hAnsi="宋体" w:eastAsia="宋体" w:cs="宋体"/>
          <w:b/>
          <w:bCs/>
          <w:sz w:val="21"/>
          <w:szCs w:val="21"/>
        </w:rPr>
      </w:pPr>
      <w:bookmarkStart w:id="271" w:name="_Toc989159"/>
      <w:r>
        <w:rPr>
          <w:rFonts w:ascii="宋体" w:hAnsi="宋体" w:eastAsia="宋体" w:cs="宋体"/>
          <w:b/>
          <w:bCs/>
          <w:sz w:val="21"/>
          <w:szCs w:val="21"/>
        </w:rPr>
        <w:t>（1） 短期借款分类</w:t>
      </w:r>
      <w:bookmarkEnd w:id="2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信用借款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145,131,694.44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未终止确认的应收票据贴现借款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145,131,694.44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r>
    </w:tbl>
    <w:p>
      <w:pPr>
        <w:keepNext/>
        <w:keepLines/>
        <w:spacing w:before="300" w:after="300" w:line="280" w:lineRule="exact"/>
        <w:jc w:val="left"/>
        <w:outlineLvl w:val="2"/>
        <w:rPr>
          <w:rFonts w:ascii="宋体" w:hAnsi="宋体" w:eastAsia="宋体" w:cs="宋体"/>
          <w:b/>
          <w:bCs/>
          <w:sz w:val="21"/>
          <w:szCs w:val="21"/>
        </w:rPr>
      </w:pPr>
      <w:bookmarkStart w:id="272" w:name="_Toc989160"/>
      <w:r>
        <w:rPr>
          <w:rFonts w:ascii="宋体" w:hAnsi="宋体" w:eastAsia="宋体" w:cs="宋体"/>
          <w:b/>
          <w:bCs/>
          <w:sz w:val="21"/>
          <w:szCs w:val="21"/>
        </w:rPr>
        <w:t>25、交易性金融负债</w:t>
      </w:r>
      <w:bookmarkEnd w:id="2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指定为以公允价值计量且其变动计入当期损益的金融负债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18,572,684.91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黄金租赁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18,572,684.91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18,572,684.91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8"/>
        <w:keepNext w:val="0"/>
        <w:keepLines w:val="0"/>
        <w:widowControl/>
        <w:suppressLineNumbers w:val="0"/>
        <w:spacing w:before="120" w:beforeAutospacing="0" w:after="216" w:afterAutospacing="0"/>
        <w:ind w:left="0" w:right="0"/>
        <w:jc w:val="both"/>
        <w:rPr>
          <w:rFonts w:hint="eastAsia" w:ascii="宋体" w:hAnsi="宋体" w:cs="宋体"/>
          <w:sz w:val="18"/>
          <w:szCs w:val="18"/>
        </w:rPr>
      </w:pPr>
      <w:r>
        <w:rPr>
          <w:rFonts w:hint="eastAsia" w:ascii="宋体" w:hAnsi="宋体" w:eastAsia="宋体" w:cs="宋体"/>
          <w:sz w:val="18"/>
          <w:szCs w:val="18"/>
        </w:rPr>
        <w:t>指定为公允价值计量且其变动计入当期损益的金融负债系核算公司于银行开展黄金实物租借业务形成的负债。本公司从银行租入黄金，到期日通过上海黄金交易所买入相同数量和规格的黄金归还银行并支付约定租息，租赁期为1年以内。于2023年12月31日，该金融负债的成本为53,588,960.00元，公允价值变动为损失3,002,660.00元，应付租息为290,334.76元。</w:t>
      </w:r>
    </w:p>
    <w:p>
      <w:pPr>
        <w:keepNext/>
        <w:keepLines/>
        <w:spacing w:before="300" w:after="300" w:line="280" w:lineRule="exact"/>
        <w:jc w:val="left"/>
        <w:outlineLvl w:val="2"/>
        <w:rPr>
          <w:rFonts w:ascii="宋体" w:hAnsi="宋体" w:eastAsia="宋体" w:cs="宋体"/>
          <w:b/>
          <w:bCs/>
          <w:sz w:val="21"/>
          <w:szCs w:val="21"/>
        </w:rPr>
      </w:pPr>
      <w:bookmarkStart w:id="273" w:name="_Toc989161"/>
      <w:r>
        <w:rPr>
          <w:rFonts w:ascii="宋体" w:hAnsi="宋体" w:eastAsia="宋体" w:cs="宋体"/>
          <w:b/>
          <w:bCs/>
          <w:sz w:val="21"/>
          <w:szCs w:val="21"/>
        </w:rPr>
        <w:t>26、衍生金融负债</w:t>
      </w:r>
      <w:bookmarkEnd w:id="2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指定套期关系的衍生金融负债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489,360.00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489,360.00</w:t>
            </w:r>
          </w:p>
        </w:tc>
      </w:tr>
    </w:tbl>
    <w:p>
      <w:pPr>
        <w:keepNext/>
        <w:keepLines/>
        <w:spacing w:before="300" w:after="300" w:line="280" w:lineRule="exact"/>
        <w:jc w:val="left"/>
        <w:outlineLvl w:val="2"/>
        <w:rPr>
          <w:rFonts w:ascii="宋体" w:hAnsi="宋体" w:eastAsia="宋体" w:cs="宋体"/>
          <w:b/>
          <w:bCs/>
          <w:sz w:val="21"/>
          <w:szCs w:val="21"/>
        </w:rPr>
      </w:pPr>
      <w:bookmarkStart w:id="274" w:name="_Toc989162"/>
      <w:r>
        <w:rPr>
          <w:rFonts w:ascii="宋体" w:hAnsi="宋体" w:eastAsia="宋体" w:cs="宋体"/>
          <w:b/>
          <w:bCs/>
          <w:sz w:val="21"/>
          <w:szCs w:val="21"/>
        </w:rPr>
        <w:t>27、应付账款</w:t>
      </w:r>
      <w:bookmarkEnd w:id="274"/>
    </w:p>
    <w:p>
      <w:pPr>
        <w:keepNext/>
        <w:keepLines/>
        <w:spacing w:before="300" w:after="300" w:line="280" w:lineRule="exact"/>
        <w:jc w:val="left"/>
        <w:outlineLvl w:val="3"/>
        <w:rPr>
          <w:rFonts w:ascii="宋体" w:hAnsi="宋体" w:eastAsia="宋体" w:cs="宋体"/>
          <w:b/>
          <w:bCs/>
          <w:sz w:val="18"/>
          <w:szCs w:val="18"/>
        </w:rPr>
      </w:pPr>
      <w:bookmarkStart w:id="275" w:name="_Toc989163"/>
      <w:r>
        <w:rPr>
          <w:rFonts w:ascii="宋体" w:hAnsi="宋体" w:eastAsia="宋体" w:cs="宋体"/>
          <w:b/>
          <w:bCs/>
          <w:sz w:val="18"/>
          <w:szCs w:val="18"/>
        </w:rPr>
        <w:t>（1） 应付账款列示</w:t>
      </w:r>
      <w:bookmarkEnd w:id="2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货物及服务采购款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6,150,884.19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5,397,040.27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工程设备款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129,683,530.20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119,319,760.44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135,834,414.39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124,716,800.71</w:t>
            </w:r>
          </w:p>
        </w:tc>
      </w:tr>
    </w:tbl>
    <w:p>
      <w:pPr>
        <w:keepNext/>
        <w:keepLines/>
        <w:spacing w:before="300" w:after="300" w:line="280" w:lineRule="exact"/>
        <w:jc w:val="left"/>
        <w:outlineLvl w:val="3"/>
        <w:rPr>
          <w:rFonts w:ascii="宋体" w:hAnsi="宋体" w:eastAsia="宋体" w:cs="宋体"/>
          <w:b/>
          <w:bCs/>
          <w:sz w:val="18"/>
          <w:szCs w:val="18"/>
        </w:rPr>
      </w:pPr>
      <w:bookmarkStart w:id="276" w:name="_Toc989164"/>
      <w:r>
        <w:rPr>
          <w:rFonts w:ascii="宋体" w:hAnsi="宋体" w:eastAsia="宋体" w:cs="宋体"/>
          <w:b/>
          <w:bCs/>
          <w:sz w:val="18"/>
          <w:szCs w:val="18"/>
        </w:rPr>
        <w:t>（2） 账龄超过1年或逾期的重要应付账款</w:t>
      </w:r>
      <w:bookmarkEnd w:id="2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深圳市英龙建安(集团)有限公司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28,298,954.80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工程未结算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中国建筑一局（集团）有限公司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7,341,720.70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工程未结算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深圳市特发地产有限公司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6,054,855.46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关联公司未偿还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深圳市易诺建设工程有限公司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3,555,095.22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工程未结算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1,104,477.06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关联公司未偿还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46,355,103.24</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77" w:name="_Toc989165"/>
      <w:r>
        <w:rPr>
          <w:rFonts w:ascii="宋体" w:hAnsi="宋体" w:eastAsia="宋体" w:cs="宋体"/>
          <w:b/>
          <w:bCs/>
          <w:sz w:val="21"/>
          <w:szCs w:val="21"/>
        </w:rPr>
        <w:t>28、其他应付款</w:t>
      </w:r>
      <w:bookmarkEnd w:id="27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126,826,966.60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105,180,279.00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126,826,966.60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105,180,279.00</w:t>
            </w:r>
          </w:p>
        </w:tc>
      </w:tr>
    </w:tbl>
    <w:p>
      <w:pPr>
        <w:keepNext/>
        <w:keepLines/>
        <w:spacing w:before="300" w:after="300" w:line="280" w:lineRule="exact"/>
        <w:jc w:val="left"/>
        <w:outlineLvl w:val="3"/>
        <w:rPr>
          <w:rFonts w:ascii="宋体" w:hAnsi="宋体" w:eastAsia="宋体" w:cs="宋体"/>
          <w:b/>
          <w:bCs/>
          <w:sz w:val="18"/>
          <w:szCs w:val="18"/>
        </w:rPr>
      </w:pPr>
      <w:bookmarkStart w:id="278" w:name="_Toc989166"/>
      <w:r>
        <w:rPr>
          <w:rFonts w:ascii="宋体" w:hAnsi="宋体" w:eastAsia="宋体" w:cs="宋体"/>
          <w:b/>
          <w:bCs/>
          <w:sz w:val="18"/>
          <w:szCs w:val="18"/>
        </w:rPr>
        <w:t>（1） 其他应付款</w:t>
      </w:r>
      <w:bookmarkEnd w:id="278"/>
    </w:p>
    <w:p>
      <w:pPr>
        <w:keepNext/>
        <w:keepLines/>
        <w:spacing w:before="300" w:after="300" w:line="280" w:lineRule="exact"/>
        <w:jc w:val="left"/>
        <w:outlineLvl w:val="4"/>
        <w:rPr>
          <w:rFonts w:ascii="宋体" w:hAnsi="宋体" w:eastAsia="宋体" w:cs="宋体"/>
          <w:b/>
          <w:bCs/>
          <w:sz w:val="18"/>
          <w:szCs w:val="18"/>
        </w:rPr>
      </w:pPr>
      <w:bookmarkStart w:id="279" w:name="_Toc989167"/>
      <w:r>
        <w:rPr>
          <w:rFonts w:ascii="宋体" w:hAnsi="宋体" w:eastAsia="宋体" w:cs="宋体"/>
          <w:b/>
          <w:bCs/>
          <w:sz w:val="18"/>
          <w:szCs w:val="18"/>
        </w:rPr>
        <w:t>1） 按款项性质列示其他应付款</w:t>
      </w:r>
      <w:bookmarkEnd w:id="2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61,572,033.08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42,765,478.88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关联往来款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13,217,780.83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18,990,738.98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预提款项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14,559,784.33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11,499,312.36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应付暂收款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37,477,368.36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31,924,748.78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126,826,966.60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105,180,279.00</w:t>
            </w:r>
          </w:p>
        </w:tc>
      </w:tr>
    </w:tbl>
    <w:p>
      <w:pPr>
        <w:keepNext/>
        <w:keepLines/>
        <w:spacing w:before="300" w:after="300" w:line="280" w:lineRule="exact"/>
        <w:jc w:val="left"/>
        <w:outlineLvl w:val="4"/>
        <w:rPr>
          <w:rFonts w:ascii="宋体" w:hAnsi="宋体" w:eastAsia="宋体" w:cs="宋体"/>
          <w:b/>
          <w:bCs/>
          <w:sz w:val="18"/>
          <w:szCs w:val="18"/>
        </w:rPr>
      </w:pPr>
      <w:bookmarkStart w:id="280" w:name="_Toc989168"/>
      <w:r>
        <w:rPr>
          <w:rFonts w:ascii="宋体" w:hAnsi="宋体" w:eastAsia="宋体" w:cs="宋体"/>
          <w:b/>
          <w:bCs/>
          <w:sz w:val="18"/>
          <w:szCs w:val="18"/>
        </w:rPr>
        <w:t>2） 账龄超过1年或逾期的重要其他应付款</w:t>
      </w:r>
      <w:bookmarkEnd w:id="2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深圳市港福珠宝供应链有限公司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保证金未到期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香港裕嘉投资有限公司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2,146,404.58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欠关联方公司款项，未偿还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5,146,404.58</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81" w:name="_Toc989170"/>
      <w:r>
        <w:rPr>
          <w:rFonts w:ascii="宋体" w:hAnsi="宋体" w:eastAsia="宋体" w:cs="宋体"/>
          <w:b/>
          <w:bCs/>
          <w:sz w:val="21"/>
          <w:szCs w:val="21"/>
        </w:rPr>
        <w:t>29、预收款项</w:t>
      </w:r>
      <w:bookmarkEnd w:id="281"/>
    </w:p>
    <w:p>
      <w:pPr>
        <w:keepNext/>
        <w:keepLines/>
        <w:spacing w:before="300" w:after="300" w:line="280" w:lineRule="exact"/>
        <w:jc w:val="left"/>
        <w:outlineLvl w:val="3"/>
        <w:rPr>
          <w:rFonts w:ascii="宋体" w:hAnsi="宋体" w:eastAsia="宋体" w:cs="宋体"/>
          <w:b/>
          <w:bCs/>
          <w:sz w:val="18"/>
          <w:szCs w:val="18"/>
        </w:rPr>
      </w:pPr>
      <w:bookmarkStart w:id="282" w:name="_Toc989171"/>
      <w:r>
        <w:rPr>
          <w:rFonts w:ascii="宋体" w:hAnsi="宋体" w:eastAsia="宋体" w:cs="宋体"/>
          <w:b/>
          <w:bCs/>
          <w:sz w:val="18"/>
          <w:szCs w:val="18"/>
        </w:rPr>
        <w:t>（1） 预收款项列示</w:t>
      </w:r>
      <w:bookmarkEnd w:id="2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4,306,567.65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6,119,377.90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4,306,567.65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6,119,377.90</w:t>
            </w:r>
          </w:p>
        </w:tc>
      </w:tr>
    </w:tbl>
    <w:p>
      <w:pPr>
        <w:keepNext/>
        <w:keepLines/>
        <w:spacing w:before="300" w:after="300" w:line="280" w:lineRule="exact"/>
        <w:jc w:val="left"/>
        <w:outlineLvl w:val="2"/>
        <w:rPr>
          <w:rFonts w:ascii="宋体" w:hAnsi="宋体" w:eastAsia="宋体" w:cs="宋体"/>
          <w:b/>
          <w:bCs/>
          <w:sz w:val="21"/>
          <w:szCs w:val="21"/>
        </w:rPr>
      </w:pPr>
      <w:bookmarkStart w:id="283" w:name="_Toc989172"/>
      <w:r>
        <w:rPr>
          <w:rFonts w:ascii="宋体" w:hAnsi="宋体" w:eastAsia="宋体" w:cs="宋体"/>
          <w:b/>
          <w:bCs/>
          <w:sz w:val="21"/>
          <w:szCs w:val="21"/>
        </w:rPr>
        <w:t>30、合同负债</w:t>
      </w:r>
      <w:bookmarkEnd w:id="28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预收商品款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2,628,855.25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4,581,999.11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预收服务费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4,451,120.13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4,677,659.32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7,079,975.38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9,259,658.43</w:t>
            </w:r>
          </w:p>
        </w:tc>
      </w:tr>
    </w:tbl>
    <w:p>
      <w:pPr>
        <w:keepNext/>
        <w:keepLines/>
        <w:spacing w:before="300" w:after="300" w:line="280" w:lineRule="exact"/>
        <w:jc w:val="left"/>
        <w:outlineLvl w:val="2"/>
        <w:rPr>
          <w:rFonts w:ascii="宋体" w:hAnsi="宋体" w:eastAsia="宋体" w:cs="宋体"/>
          <w:b/>
          <w:bCs/>
          <w:sz w:val="21"/>
          <w:szCs w:val="21"/>
        </w:rPr>
      </w:pPr>
      <w:bookmarkStart w:id="284" w:name="_Toc989173"/>
      <w:r>
        <w:rPr>
          <w:rFonts w:ascii="宋体" w:hAnsi="宋体" w:eastAsia="宋体" w:cs="宋体"/>
          <w:b/>
          <w:bCs/>
          <w:sz w:val="21"/>
          <w:szCs w:val="21"/>
        </w:rPr>
        <w:t>31、应付职工薪酬</w:t>
      </w:r>
      <w:bookmarkEnd w:id="284"/>
    </w:p>
    <w:p>
      <w:pPr>
        <w:keepNext/>
        <w:keepLines/>
        <w:spacing w:before="300" w:after="300" w:line="280" w:lineRule="exact"/>
        <w:jc w:val="left"/>
        <w:outlineLvl w:val="3"/>
        <w:rPr>
          <w:rFonts w:ascii="宋体" w:hAnsi="宋体" w:eastAsia="宋体" w:cs="宋体"/>
          <w:b/>
          <w:bCs/>
          <w:sz w:val="21"/>
          <w:szCs w:val="21"/>
        </w:rPr>
      </w:pPr>
      <w:bookmarkStart w:id="285" w:name="_Toc989174"/>
      <w:r>
        <w:rPr>
          <w:rFonts w:ascii="宋体" w:hAnsi="宋体" w:eastAsia="宋体" w:cs="宋体"/>
          <w:b/>
          <w:bCs/>
          <w:sz w:val="21"/>
          <w:szCs w:val="21"/>
        </w:rPr>
        <w:t>（1） 应付职工薪酬列示</w:t>
      </w:r>
      <w:bookmarkEnd w:id="28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27"/>
        <w:gridCol w:w="1637"/>
        <w:gridCol w:w="1937"/>
        <w:gridCol w:w="1629"/>
        <w:gridCol w:w="15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5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一、短期薪酬</w:t>
            </w:r>
          </w:p>
        </w:tc>
        <w:tc>
          <w:tcPr>
            <w:tcW w:w="1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38,550,181.70</w:t>
            </w:r>
          </w:p>
        </w:tc>
        <w:tc>
          <w:tcPr>
            <w:tcW w:w="19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56,983,637.48</w:t>
            </w:r>
          </w:p>
        </w:tc>
        <w:tc>
          <w:tcPr>
            <w:tcW w:w="16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62,108,463.03</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33,425,356.15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二、离职后福利-设定提存计划</w:t>
            </w:r>
          </w:p>
        </w:tc>
        <w:tc>
          <w:tcPr>
            <w:tcW w:w="1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4,806,720.83</w:t>
            </w:r>
          </w:p>
        </w:tc>
        <w:tc>
          <w:tcPr>
            <w:tcW w:w="16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4,806,720.83</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三、辞退福利</w:t>
            </w:r>
          </w:p>
        </w:tc>
        <w:tc>
          <w:tcPr>
            <w:tcW w:w="1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29,544,249.87</w:t>
            </w:r>
          </w:p>
        </w:tc>
        <w:tc>
          <w:tcPr>
            <w:tcW w:w="16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29,544,249.87</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38,550,181.70</w:t>
            </w:r>
          </w:p>
        </w:tc>
        <w:tc>
          <w:tcPr>
            <w:tcW w:w="19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91,334,608.18</w:t>
            </w:r>
          </w:p>
        </w:tc>
        <w:tc>
          <w:tcPr>
            <w:tcW w:w="16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96,459,433.73</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33,425,356.15</w:t>
            </w:r>
          </w:p>
        </w:tc>
      </w:tr>
    </w:tbl>
    <w:p>
      <w:pPr>
        <w:keepNext/>
        <w:keepLines/>
        <w:spacing w:before="300" w:after="300" w:line="280" w:lineRule="exact"/>
        <w:jc w:val="left"/>
        <w:outlineLvl w:val="3"/>
        <w:rPr>
          <w:rFonts w:ascii="宋体" w:hAnsi="宋体" w:eastAsia="宋体" w:cs="宋体"/>
          <w:b/>
          <w:bCs/>
          <w:sz w:val="21"/>
          <w:szCs w:val="21"/>
        </w:rPr>
      </w:pPr>
      <w:bookmarkStart w:id="286" w:name="_Toc989175"/>
      <w:r>
        <w:rPr>
          <w:rFonts w:ascii="宋体" w:hAnsi="宋体" w:eastAsia="宋体" w:cs="宋体"/>
          <w:b/>
          <w:bCs/>
          <w:sz w:val="21"/>
          <w:szCs w:val="21"/>
        </w:rPr>
        <w:t>（2） 短期薪酬列示</w:t>
      </w:r>
      <w:bookmarkEnd w:id="28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78"/>
        <w:gridCol w:w="1869"/>
        <w:gridCol w:w="1731"/>
        <w:gridCol w:w="1646"/>
        <w:gridCol w:w="17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8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73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4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7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1、工资、奖金、津贴和补贴</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37,734,999.53</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48,669,608.71</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53,066,391.15</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33,338,217.09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2、职工福利费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23,190.00</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47,953.26</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71,143.26</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3、社会保险费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2,208,891.43</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2,208,891.43</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其中：医疗保险费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1,965,092.3</w:t>
            </w:r>
            <w:r>
              <w:rPr>
                <w:rFonts w:hint="eastAsia" w:ascii="宋体" w:hAnsi="宋体" w:cs="宋体"/>
                <w:sz w:val="18"/>
                <w:szCs w:val="18"/>
                <w:lang w:val="en-US" w:eastAsia="zh-CN"/>
              </w:rPr>
              <w:t>8</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1,965,092.3</w:t>
            </w:r>
            <w:r>
              <w:rPr>
                <w:rFonts w:hint="eastAsia" w:ascii="宋体" w:hAnsi="宋体" w:cs="宋体"/>
                <w:sz w:val="18"/>
                <w:szCs w:val="18"/>
                <w:lang w:val="en-US" w:eastAsia="zh-CN"/>
              </w:rPr>
              <w:t>8</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工伤保险费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80,964.71</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80,964.71</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生育保险费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162,834.34</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162,834.34</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4、住房公积金</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1,012.80</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3,886,186.53</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3,886,186.53</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5、工会经费和职工教育经费</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224,279.37</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1,008,573.00</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1,232,226.11</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8、其他</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566,700.00</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1,162,424.55</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1,643,624.55</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7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38,550,181.70</w:t>
            </w:r>
          </w:p>
        </w:tc>
        <w:tc>
          <w:tcPr>
            <w:tcW w:w="17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56,983,637.48</w:t>
            </w:r>
          </w:p>
        </w:tc>
        <w:tc>
          <w:tcPr>
            <w:tcW w:w="164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62,108,463.03</w:t>
            </w:r>
          </w:p>
        </w:tc>
        <w:tc>
          <w:tcPr>
            <w:tcW w:w="17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33,425,356.15</w:t>
            </w:r>
          </w:p>
        </w:tc>
      </w:tr>
    </w:tbl>
    <w:p>
      <w:pPr>
        <w:keepNext/>
        <w:keepLines/>
        <w:spacing w:before="300" w:after="300" w:line="280" w:lineRule="exact"/>
        <w:jc w:val="left"/>
        <w:outlineLvl w:val="3"/>
        <w:rPr>
          <w:rFonts w:ascii="宋体" w:hAnsi="宋体" w:eastAsia="宋体" w:cs="宋体"/>
          <w:b/>
          <w:bCs/>
          <w:sz w:val="21"/>
          <w:szCs w:val="21"/>
        </w:rPr>
      </w:pPr>
      <w:bookmarkStart w:id="287" w:name="_Toc989176"/>
      <w:r>
        <w:rPr>
          <w:rFonts w:ascii="宋体" w:hAnsi="宋体" w:eastAsia="宋体" w:cs="宋体"/>
          <w:b/>
          <w:bCs/>
          <w:sz w:val="21"/>
          <w:szCs w:val="21"/>
        </w:rPr>
        <w:t>（3） 设定提存计划列示</w:t>
      </w:r>
      <w:bookmarkEnd w:id="28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1、基本养老保险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4,771,126.10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4,771,126.10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2、失业保险费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35,594.73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35,594.73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4,806,720.83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4,806,720.83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88" w:name="_Toc989177"/>
      <w:r>
        <w:rPr>
          <w:rFonts w:ascii="宋体" w:hAnsi="宋体" w:eastAsia="宋体" w:cs="宋体"/>
          <w:b/>
          <w:bCs/>
          <w:sz w:val="21"/>
          <w:szCs w:val="21"/>
        </w:rPr>
        <w:t>32、应交税费</w:t>
      </w:r>
      <w:bookmarkEnd w:id="28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1,753,636.75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3,220,124.57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7,692,722.34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6,942,460.17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个人所得税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1,174,933.55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1,895,926.96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89,600.86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178,605.67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79,842.74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143,450.67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40,949.07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土地增值税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17,386,832.46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5,362,682.64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526,135.54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153,743.82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1,107,593.09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28,857,448.06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18,891,792.84</w:t>
            </w:r>
          </w:p>
        </w:tc>
      </w:tr>
    </w:tbl>
    <w:p>
      <w:pPr>
        <w:keepNext/>
        <w:keepLines/>
        <w:spacing w:before="300" w:after="300" w:line="280" w:lineRule="exact"/>
        <w:jc w:val="left"/>
        <w:outlineLvl w:val="2"/>
        <w:rPr>
          <w:rFonts w:ascii="宋体" w:hAnsi="宋体" w:eastAsia="宋体" w:cs="宋体"/>
          <w:b/>
          <w:bCs/>
          <w:sz w:val="21"/>
          <w:szCs w:val="21"/>
        </w:rPr>
      </w:pPr>
      <w:bookmarkStart w:id="289" w:name="_Toc989178"/>
      <w:r>
        <w:rPr>
          <w:rFonts w:ascii="宋体" w:hAnsi="宋体" w:eastAsia="宋体" w:cs="宋体"/>
          <w:b/>
          <w:bCs/>
          <w:sz w:val="21"/>
          <w:szCs w:val="21"/>
        </w:rPr>
        <w:t>33、一年内到期的非流动负债</w:t>
      </w:r>
      <w:bookmarkEnd w:id="28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一年内到期的租赁负债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7,304,647.32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2,009,819.15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7,304,647.32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2,009,819.15</w:t>
            </w:r>
          </w:p>
        </w:tc>
      </w:tr>
    </w:tbl>
    <w:p>
      <w:pPr>
        <w:keepNext/>
        <w:keepLines/>
        <w:spacing w:before="300" w:after="300" w:line="280" w:lineRule="exact"/>
        <w:jc w:val="left"/>
        <w:outlineLvl w:val="2"/>
        <w:rPr>
          <w:rFonts w:ascii="宋体" w:hAnsi="宋体" w:eastAsia="宋体" w:cs="宋体"/>
          <w:b/>
          <w:bCs/>
          <w:sz w:val="21"/>
          <w:szCs w:val="21"/>
        </w:rPr>
      </w:pPr>
      <w:bookmarkStart w:id="290" w:name="_Toc989179"/>
      <w:r>
        <w:rPr>
          <w:rFonts w:ascii="宋体" w:hAnsi="宋体" w:eastAsia="宋体" w:cs="宋体"/>
          <w:b/>
          <w:bCs/>
          <w:sz w:val="21"/>
          <w:szCs w:val="21"/>
        </w:rPr>
        <w:t>34、其他流动负债</w:t>
      </w:r>
      <w:bookmarkEnd w:id="29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待转销项税额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3,388,998.35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548,507.70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未终止确认的应收票据转回</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67,812,500.00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3,388,998.35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68,361,007.70</w:t>
            </w:r>
          </w:p>
        </w:tc>
      </w:tr>
    </w:tbl>
    <w:p>
      <w:pPr>
        <w:keepNext/>
        <w:keepLines/>
        <w:spacing w:before="300" w:after="300" w:line="280" w:lineRule="exact"/>
        <w:jc w:val="left"/>
        <w:outlineLvl w:val="2"/>
        <w:rPr>
          <w:rFonts w:ascii="宋体" w:hAnsi="宋体" w:eastAsia="宋体" w:cs="宋体"/>
          <w:b/>
          <w:bCs/>
          <w:sz w:val="21"/>
          <w:szCs w:val="21"/>
        </w:rPr>
      </w:pPr>
      <w:bookmarkStart w:id="291" w:name="_Toc989180"/>
      <w:r>
        <w:rPr>
          <w:rFonts w:ascii="宋体" w:hAnsi="宋体" w:eastAsia="宋体" w:cs="宋体"/>
          <w:b/>
          <w:bCs/>
          <w:sz w:val="21"/>
          <w:szCs w:val="21"/>
        </w:rPr>
        <w:t>35、长期借款</w:t>
      </w:r>
      <w:bookmarkEnd w:id="291"/>
    </w:p>
    <w:p>
      <w:pPr>
        <w:keepNext/>
        <w:keepLines/>
        <w:spacing w:before="300" w:after="300" w:line="280" w:lineRule="exact"/>
        <w:jc w:val="left"/>
        <w:outlineLvl w:val="3"/>
        <w:rPr>
          <w:rFonts w:ascii="宋体" w:hAnsi="宋体" w:eastAsia="宋体" w:cs="宋体"/>
          <w:b/>
          <w:bCs/>
          <w:sz w:val="18"/>
          <w:szCs w:val="18"/>
        </w:rPr>
      </w:pPr>
      <w:bookmarkStart w:id="292" w:name="_Toc989181"/>
      <w:r>
        <w:rPr>
          <w:rFonts w:ascii="宋体" w:hAnsi="宋体" w:eastAsia="宋体" w:cs="宋体"/>
          <w:b/>
          <w:bCs/>
          <w:sz w:val="18"/>
          <w:szCs w:val="18"/>
        </w:rPr>
        <w:t>（1） 长期借款分类</w:t>
      </w:r>
      <w:bookmarkEnd w:id="2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抵押借款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r>
    </w:tbl>
    <w:p>
      <w:pPr>
        <w:keepNext/>
        <w:keepLines/>
        <w:spacing w:before="300" w:after="300" w:line="280" w:lineRule="exact"/>
        <w:jc w:val="left"/>
        <w:outlineLvl w:val="2"/>
        <w:rPr>
          <w:rFonts w:ascii="宋体" w:hAnsi="宋体" w:eastAsia="宋体" w:cs="宋体"/>
          <w:b/>
          <w:bCs/>
          <w:sz w:val="21"/>
          <w:szCs w:val="21"/>
        </w:rPr>
      </w:pPr>
      <w:bookmarkStart w:id="293" w:name="_Toc989182"/>
      <w:r>
        <w:rPr>
          <w:rFonts w:ascii="宋体" w:hAnsi="宋体" w:eastAsia="宋体" w:cs="宋体"/>
          <w:b/>
          <w:bCs/>
          <w:sz w:val="21"/>
          <w:szCs w:val="21"/>
        </w:rPr>
        <w:t>36、租赁负债</w:t>
      </w:r>
      <w:bookmarkEnd w:id="2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69,524,214.23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2,926,184.93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69,524,214.23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2,926,184.93</w:t>
            </w:r>
          </w:p>
        </w:tc>
      </w:tr>
    </w:tbl>
    <w:p>
      <w:pPr>
        <w:keepNext/>
        <w:keepLines/>
        <w:spacing w:before="300" w:after="300" w:line="280" w:lineRule="exact"/>
        <w:jc w:val="left"/>
        <w:outlineLvl w:val="2"/>
        <w:rPr>
          <w:rFonts w:ascii="宋体" w:hAnsi="宋体" w:eastAsia="宋体" w:cs="宋体"/>
          <w:b/>
          <w:bCs/>
          <w:sz w:val="21"/>
          <w:szCs w:val="21"/>
        </w:rPr>
      </w:pPr>
      <w:bookmarkStart w:id="294" w:name="_Toc989183"/>
      <w:r>
        <w:rPr>
          <w:rFonts w:ascii="宋体" w:hAnsi="宋体" w:eastAsia="宋体" w:cs="宋体"/>
          <w:b/>
          <w:bCs/>
          <w:sz w:val="21"/>
          <w:szCs w:val="21"/>
        </w:rPr>
        <w:t>37、长期应付款</w:t>
      </w:r>
      <w:bookmarkEnd w:id="29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r>
    </w:tbl>
    <w:p>
      <w:pPr>
        <w:keepNext/>
        <w:keepLines/>
        <w:spacing w:before="300" w:after="300" w:line="280" w:lineRule="exact"/>
        <w:jc w:val="left"/>
        <w:outlineLvl w:val="3"/>
        <w:rPr>
          <w:rFonts w:ascii="宋体" w:hAnsi="宋体" w:eastAsia="宋体" w:cs="宋体"/>
          <w:b/>
          <w:bCs/>
          <w:sz w:val="18"/>
          <w:szCs w:val="18"/>
        </w:rPr>
      </w:pPr>
      <w:bookmarkStart w:id="295" w:name="_Toc989184"/>
      <w:r>
        <w:rPr>
          <w:rFonts w:ascii="宋体" w:hAnsi="宋体" w:eastAsia="宋体" w:cs="宋体"/>
          <w:b/>
          <w:bCs/>
          <w:sz w:val="18"/>
          <w:szCs w:val="18"/>
        </w:rPr>
        <w:t>（1） 按款项性质列示长期应付款</w:t>
      </w:r>
      <w:bookmarkEnd w:id="29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职工住房押金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3,908,848.40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3,908,848.40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技术创新项目拨款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11,311.96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11,311.96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3,920,160.36</w:t>
            </w:r>
          </w:p>
        </w:tc>
      </w:tr>
    </w:tbl>
    <w:p>
      <w:pPr>
        <w:keepNext/>
        <w:keepLines/>
        <w:spacing w:before="300" w:after="300" w:line="280" w:lineRule="exact"/>
        <w:jc w:val="left"/>
        <w:outlineLvl w:val="2"/>
        <w:rPr>
          <w:rFonts w:ascii="宋体" w:hAnsi="宋体" w:eastAsia="宋体" w:cs="宋体"/>
          <w:b/>
          <w:bCs/>
          <w:sz w:val="21"/>
          <w:szCs w:val="21"/>
        </w:rPr>
      </w:pPr>
      <w:bookmarkStart w:id="296" w:name="_Toc989185"/>
      <w:r>
        <w:rPr>
          <w:rFonts w:ascii="宋体" w:hAnsi="宋体" w:eastAsia="宋体" w:cs="宋体"/>
          <w:b/>
          <w:bCs/>
          <w:sz w:val="21"/>
          <w:szCs w:val="21"/>
        </w:rPr>
        <w:t>38、预计负债</w:t>
      </w:r>
      <w:bookmarkEnd w:id="29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未决诉讼</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未决诉讼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268,414.80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297" w:name="_Toc989186"/>
      <w:r>
        <w:rPr>
          <w:rFonts w:ascii="宋体" w:hAnsi="宋体" w:eastAsia="宋体" w:cs="宋体"/>
          <w:b/>
          <w:bCs/>
          <w:sz w:val="21"/>
          <w:szCs w:val="21"/>
        </w:rPr>
        <w:t>39、递延收益</w:t>
      </w:r>
      <w:bookmarkEnd w:id="29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10,579,545.71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1,085,610.00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2,047,472.18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9,617,683.53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10,579,545.71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1,085,610.00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2,047,472.18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9,617,683.53</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298" w:name="_Toc989187"/>
      <w:r>
        <w:rPr>
          <w:rFonts w:ascii="宋体" w:hAnsi="宋体" w:eastAsia="宋体" w:cs="宋体"/>
          <w:b/>
          <w:bCs/>
          <w:sz w:val="21"/>
          <w:szCs w:val="21"/>
        </w:rPr>
        <w:t>40、股本</w:t>
      </w:r>
      <w:bookmarkEnd w:id="29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662"/>
        <w:gridCol w:w="1106"/>
        <w:gridCol w:w="847"/>
        <w:gridCol w:w="1205"/>
        <w:gridCol w:w="896"/>
        <w:gridCol w:w="969"/>
        <w:gridCol w:w="17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16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023"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175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1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84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89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175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股份总数</w:t>
            </w:r>
          </w:p>
        </w:tc>
        <w:tc>
          <w:tcPr>
            <w:tcW w:w="16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c>
          <w:tcPr>
            <w:tcW w:w="11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4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9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431,058,320.00</w:t>
            </w:r>
          </w:p>
        </w:tc>
      </w:tr>
    </w:tbl>
    <w:p>
      <w:pPr>
        <w:keepNext/>
        <w:keepLines/>
        <w:spacing w:before="300" w:after="300" w:line="280" w:lineRule="exact"/>
        <w:jc w:val="left"/>
        <w:outlineLvl w:val="2"/>
        <w:rPr>
          <w:rFonts w:ascii="宋体" w:hAnsi="宋体" w:eastAsia="宋体" w:cs="宋体"/>
          <w:b/>
          <w:bCs/>
          <w:sz w:val="21"/>
          <w:szCs w:val="21"/>
        </w:rPr>
      </w:pPr>
      <w:bookmarkStart w:id="299" w:name="_Toc989188"/>
      <w:r>
        <w:rPr>
          <w:rFonts w:ascii="宋体" w:hAnsi="宋体" w:eastAsia="宋体" w:cs="宋体"/>
          <w:b/>
          <w:bCs/>
          <w:sz w:val="21"/>
          <w:szCs w:val="21"/>
        </w:rPr>
        <w:t>41、资本公积</w:t>
      </w:r>
      <w:bookmarkEnd w:id="29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387"/>
        <w:gridCol w:w="1868"/>
        <w:gridCol w:w="1529"/>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8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资本溢价（股本溢价）</w:t>
            </w:r>
          </w:p>
        </w:tc>
        <w:tc>
          <w:tcPr>
            <w:tcW w:w="18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425,768,053.35</w:t>
            </w:r>
          </w:p>
        </w:tc>
        <w:tc>
          <w:tcPr>
            <w:tcW w:w="15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583,146.01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425,184,907.34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其他资本公积</w:t>
            </w:r>
          </w:p>
        </w:tc>
        <w:tc>
          <w:tcPr>
            <w:tcW w:w="18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5,681,501.16</w:t>
            </w:r>
          </w:p>
        </w:tc>
        <w:tc>
          <w:tcPr>
            <w:tcW w:w="15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5,681,501.16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3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8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431,449,554.51</w:t>
            </w:r>
          </w:p>
        </w:tc>
        <w:tc>
          <w:tcPr>
            <w:tcW w:w="15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583,146.01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430,866,408.50</w:t>
            </w:r>
          </w:p>
        </w:tc>
      </w:tr>
    </w:tbl>
    <w:p>
      <w:pPr>
        <w:numPr>
          <w:ilvl w:val="2"/>
          <w:numId w:val="0"/>
        </w:numPr>
        <w:snapToGrid w:val="0"/>
        <w:spacing w:before="120" w:beforeLines="50" w:after="216" w:afterLines="90" w:line="320" w:lineRule="exact"/>
        <w:ind w:leftChars="0" w:firstLine="0" w:firstLineChars="0"/>
        <w:jc w:val="left"/>
        <w:rPr>
          <w:rFonts w:hint="eastAsia" w:ascii="宋体" w:hAnsi="宋体" w:eastAsia="宋体" w:cs="宋体"/>
          <w:sz w:val="18"/>
          <w:szCs w:val="18"/>
        </w:rPr>
      </w:pPr>
      <w:bookmarkStart w:id="300" w:name="_Toc989189"/>
      <w:r>
        <w:rPr>
          <w:rFonts w:hint="eastAsia" w:ascii="宋体" w:hAnsi="宋体" w:eastAsia="宋体" w:cs="宋体"/>
          <w:sz w:val="18"/>
          <w:szCs w:val="18"/>
        </w:rPr>
        <w:t>本期减少：日深国际有限公司在2007年退出子公司深圳特发华日汽车企业有限公司合并范围，直接计入权益部分的未弥补亏损转回按股比调整资本公积。本期因子公司特深圳特发华日汽车企业有限公司强制清算不再纳入合并范围，相应的资本公积进行转出。</w:t>
      </w:r>
    </w:p>
    <w:p>
      <w:pPr>
        <w:keepNext/>
        <w:keepLines/>
        <w:spacing w:before="300" w:after="300" w:line="280" w:lineRule="exact"/>
        <w:jc w:val="left"/>
        <w:outlineLvl w:val="2"/>
        <w:rPr>
          <w:rFonts w:ascii="宋体" w:hAnsi="宋体" w:eastAsia="宋体" w:cs="宋体"/>
          <w:b/>
          <w:bCs/>
          <w:sz w:val="21"/>
          <w:szCs w:val="21"/>
        </w:rPr>
      </w:pPr>
      <w:r>
        <w:rPr>
          <w:rFonts w:ascii="宋体" w:hAnsi="宋体" w:eastAsia="宋体" w:cs="宋体"/>
          <w:b/>
          <w:bCs/>
          <w:sz w:val="21"/>
          <w:szCs w:val="21"/>
        </w:rPr>
        <w:t>42、其他综合收益</w:t>
      </w:r>
      <w:bookmarkEnd w:id="3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15"/>
        <w:gridCol w:w="1080"/>
        <w:gridCol w:w="818"/>
        <w:gridCol w:w="914"/>
        <w:gridCol w:w="986"/>
        <w:gridCol w:w="814"/>
        <w:gridCol w:w="1508"/>
        <w:gridCol w:w="738"/>
        <w:gridCol w:w="14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8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778"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46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8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本期所得税前发生额</w:t>
            </w:r>
          </w:p>
        </w:tc>
        <w:tc>
          <w:tcPr>
            <w:tcW w:w="91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减：前期计入其他综合收益当期转入损益</w:t>
            </w:r>
          </w:p>
        </w:tc>
        <w:tc>
          <w:tcPr>
            <w:tcW w:w="9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减：前期计入其他综合收益当期转入留存收益</w:t>
            </w:r>
          </w:p>
        </w:tc>
        <w:tc>
          <w:tcPr>
            <w:tcW w:w="81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减：所得税费用</w:t>
            </w:r>
          </w:p>
        </w:tc>
        <w:tc>
          <w:tcPr>
            <w:tcW w:w="15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税后归属于母公司</w:t>
            </w:r>
          </w:p>
        </w:tc>
        <w:tc>
          <w:tcPr>
            <w:tcW w:w="7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税后归属于少数股东</w:t>
            </w:r>
          </w:p>
        </w:tc>
        <w:tc>
          <w:tcPr>
            <w:tcW w:w="146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1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其他权益工具投资公允价值变动</w:t>
            </w:r>
          </w:p>
        </w:tc>
        <w:tc>
          <w:tcPr>
            <w:tcW w:w="1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1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8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其中：权益法下可转损益的其他综合收益</w:t>
            </w:r>
          </w:p>
        </w:tc>
        <w:tc>
          <w:tcPr>
            <w:tcW w:w="1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8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其他综合收益合计</w:t>
            </w:r>
          </w:p>
        </w:tc>
        <w:tc>
          <w:tcPr>
            <w:tcW w:w="10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26,422.00</w:t>
            </w:r>
          </w:p>
        </w:tc>
        <w:tc>
          <w:tcPr>
            <w:tcW w:w="8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8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1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-7,344,974.65</w:t>
            </w:r>
          </w:p>
        </w:tc>
        <w:tc>
          <w:tcPr>
            <w:tcW w:w="7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-7,318,552.65</w:t>
            </w:r>
          </w:p>
        </w:tc>
      </w:tr>
    </w:tbl>
    <w:p>
      <w:pPr>
        <w:keepNext/>
        <w:keepLines/>
        <w:spacing w:before="300" w:after="300" w:line="280" w:lineRule="exact"/>
        <w:jc w:val="left"/>
        <w:outlineLvl w:val="2"/>
        <w:rPr>
          <w:rFonts w:ascii="宋体" w:hAnsi="宋体" w:eastAsia="宋体" w:cs="宋体"/>
          <w:b/>
          <w:bCs/>
          <w:sz w:val="21"/>
          <w:szCs w:val="21"/>
        </w:rPr>
      </w:pPr>
      <w:bookmarkStart w:id="301" w:name="_Toc989190"/>
      <w:r>
        <w:rPr>
          <w:rFonts w:ascii="宋体" w:hAnsi="宋体" w:eastAsia="宋体" w:cs="宋体"/>
          <w:b/>
          <w:bCs/>
          <w:sz w:val="21"/>
          <w:szCs w:val="21"/>
        </w:rPr>
        <w:t>43、盈余公积</w:t>
      </w:r>
      <w:bookmarkEnd w:id="30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法定盈余公积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52,499,172.13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63,956,286.46</w:t>
            </w:r>
          </w:p>
        </w:tc>
      </w:tr>
    </w:tbl>
    <w:p>
      <w:pPr>
        <w:keepNext/>
        <w:keepLines/>
        <w:spacing w:before="300" w:after="300" w:line="280" w:lineRule="exact"/>
        <w:jc w:val="left"/>
        <w:outlineLvl w:val="2"/>
        <w:rPr>
          <w:rFonts w:ascii="宋体" w:hAnsi="宋体" w:eastAsia="宋体" w:cs="宋体"/>
          <w:b/>
          <w:bCs/>
          <w:sz w:val="21"/>
          <w:szCs w:val="21"/>
        </w:rPr>
      </w:pPr>
      <w:bookmarkStart w:id="302" w:name="_Toc989191"/>
      <w:r>
        <w:rPr>
          <w:rFonts w:ascii="宋体" w:hAnsi="宋体" w:eastAsia="宋体" w:cs="宋体"/>
          <w:b/>
          <w:bCs/>
          <w:sz w:val="21"/>
          <w:szCs w:val="21"/>
        </w:rPr>
        <w:t>44、未分配利润</w:t>
      </w:r>
      <w:bookmarkEnd w:id="30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调整前上期末未分配利润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590,605,394.67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543,843,496.85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调整期初未分配利润合计数（调增+，调减-）</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8,804.40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调整后期初未分配利润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590,614,199.07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543,843,496.85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加：本期归属于母公司所有者的净利润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118,255,140.84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83,496,135.61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减：提取法定盈余公积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11,457,114.33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25,952,692.04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应付普通股股利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12,069,632.96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10,781,545.75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685,342,592.62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590,605,394.67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调整期初未分配利润明细：</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1）由于《企业会计准则》及其相关新规定进行追溯调整，影响期初未分配利润</w:t>
      </w:r>
      <w:r>
        <w:rPr>
          <w:rFonts w:hint="eastAsia" w:ascii="宋体" w:hAnsi="宋体" w:cs="宋体"/>
          <w:sz w:val="18"/>
          <w:szCs w:val="18"/>
          <w:lang w:val="en-US" w:eastAsia="zh-CN"/>
        </w:rPr>
        <w:t>0.00</w:t>
      </w:r>
      <w:r>
        <w:rPr>
          <w:rFonts w:ascii="宋体" w:hAnsi="宋体" w:eastAsia="宋体" w:cs="宋体"/>
          <w:sz w:val="18"/>
          <w:szCs w:val="18"/>
        </w:rPr>
        <w:t>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2）由于会计政策变更，影响期初未分配利润8,804.40元。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3）由于重大会计差错更正，影响期初未分配利润</w:t>
      </w:r>
      <w:r>
        <w:rPr>
          <w:rFonts w:hint="eastAsia" w:ascii="宋体" w:hAnsi="宋体" w:cs="宋体"/>
          <w:sz w:val="18"/>
          <w:szCs w:val="18"/>
          <w:lang w:val="en-US" w:eastAsia="zh-CN"/>
        </w:rPr>
        <w:t>0.00</w:t>
      </w:r>
      <w:r>
        <w:rPr>
          <w:rFonts w:ascii="宋体" w:hAnsi="宋体" w:eastAsia="宋体" w:cs="宋体"/>
          <w:sz w:val="18"/>
          <w:szCs w:val="18"/>
        </w:rPr>
        <w:t>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4）由于同一控制导致的合并范围变更，影响期初未分配利润</w:t>
      </w:r>
      <w:r>
        <w:rPr>
          <w:rFonts w:hint="eastAsia" w:ascii="宋体" w:hAnsi="宋体" w:cs="宋体"/>
          <w:sz w:val="18"/>
          <w:szCs w:val="18"/>
          <w:lang w:val="en-US" w:eastAsia="zh-CN"/>
        </w:rPr>
        <w:t>0.00</w:t>
      </w:r>
      <w:r>
        <w:rPr>
          <w:rFonts w:ascii="宋体" w:hAnsi="宋体" w:eastAsia="宋体" w:cs="宋体"/>
          <w:sz w:val="18"/>
          <w:szCs w:val="18"/>
        </w:rPr>
        <w:t>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5）其他调整合计影响期初未分配利润</w:t>
      </w:r>
      <w:r>
        <w:rPr>
          <w:rFonts w:hint="eastAsia" w:ascii="宋体" w:hAnsi="宋体" w:cs="宋体"/>
          <w:sz w:val="18"/>
          <w:szCs w:val="18"/>
          <w:lang w:val="en-US" w:eastAsia="zh-CN"/>
        </w:rPr>
        <w:t>0.00</w:t>
      </w:r>
      <w:r>
        <w:rPr>
          <w:rFonts w:ascii="宋体" w:hAnsi="宋体" w:eastAsia="宋体" w:cs="宋体"/>
          <w:sz w:val="18"/>
          <w:szCs w:val="18"/>
        </w:rPr>
        <w:t>元。</w:t>
      </w:r>
    </w:p>
    <w:p>
      <w:pPr>
        <w:keepNext/>
        <w:keepLines/>
        <w:spacing w:before="300" w:after="300" w:line="280" w:lineRule="exact"/>
        <w:jc w:val="left"/>
        <w:outlineLvl w:val="2"/>
        <w:rPr>
          <w:rFonts w:ascii="宋体" w:hAnsi="宋体" w:eastAsia="宋体" w:cs="宋体"/>
          <w:b/>
          <w:bCs/>
          <w:sz w:val="21"/>
          <w:szCs w:val="21"/>
        </w:rPr>
      </w:pPr>
      <w:bookmarkStart w:id="303" w:name="_Toc989192"/>
      <w:r>
        <w:rPr>
          <w:rFonts w:ascii="宋体" w:hAnsi="宋体" w:eastAsia="宋体" w:cs="宋体"/>
          <w:b/>
          <w:bCs/>
          <w:sz w:val="21"/>
          <w:szCs w:val="21"/>
        </w:rPr>
        <w:t>45、营业收入和营业成本</w:t>
      </w:r>
      <w:bookmarkEnd w:id="30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1,840,775,590.72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1,644,301,037.12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830,367,312.21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693,409,590.68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5,963,251.17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4,036,162.48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7,288,962.30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6,879,652.74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1,648,337,199.60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837,656,274.51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700,289,243.42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经审计扣除非经常损益前后净利润孰低是否为负值</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0" w:after="0" w:line="240" w:lineRule="exact"/>
        <w:jc w:val="left"/>
        <w:rPr>
          <w:rFonts w:ascii="宋体" w:hAnsi="宋体" w:eastAsia="宋体" w:cs="宋体"/>
          <w:sz w:val="18"/>
          <w:szCs w:val="18"/>
        </w:rPr>
      </w:pPr>
      <w:r>
        <w:rPr>
          <w:rFonts w:ascii="宋体" w:hAnsi="宋体" w:eastAsia="宋体" w:cs="宋体"/>
          <w:sz w:val="18"/>
          <w:szCs w:val="18"/>
        </w:rPr>
        <w:t>营业收入、营业成本的分解信息：</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222"/>
        <w:gridCol w:w="1200"/>
        <w:gridCol w:w="685"/>
        <w:gridCol w:w="712"/>
        <w:gridCol w:w="788"/>
        <w:gridCol w:w="780"/>
        <w:gridCol w:w="1483"/>
        <w:gridCol w:w="16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合同分类</w:t>
            </w:r>
          </w:p>
        </w:tc>
        <w:tc>
          <w:tcPr>
            <w:tcW w:w="242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分部1</w:t>
            </w:r>
          </w:p>
        </w:tc>
        <w:tc>
          <w:tcPr>
            <w:tcW w:w="139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分部2</w:t>
            </w:r>
          </w:p>
        </w:tc>
        <w:tc>
          <w:tcPr>
            <w:tcW w:w="156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18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业务类型</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珠宝销售及服务</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1,542,107,225.96</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1,514,822,240.15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租赁及服务</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85,282,344.36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42,638,840.47</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38,385,230.69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汽车维修及检测</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11,475,304.98</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9,847,384.40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按经营地区分类</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华南地区</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1,417,912,052.46</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1,227,470,886.16</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1,417,912,052.46</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1,227,470,886.16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华东地区</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335,179,719.17</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328,741,786.92</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335,179,719.17</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328,741,786.92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北方地区</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85,710,840.18</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84,311,790.11</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85,710,840.18</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84,311,790.11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华中地区</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6,925,197.35</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6</w:t>
            </w:r>
            <w:r>
              <w:rPr>
                <w:rFonts w:hint="eastAsia" w:ascii="宋体" w:hAnsi="宋体" w:cs="宋体"/>
                <w:sz w:val="18"/>
                <w:szCs w:val="18"/>
                <w:lang w:val="en-US" w:eastAsia="zh-CN"/>
              </w:rPr>
              <w:t>,</w:t>
            </w:r>
            <w:r>
              <w:rPr>
                <w:rFonts w:hint="eastAsia" w:ascii="宋体" w:hAnsi="宋体" w:eastAsia="宋体" w:cs="宋体"/>
                <w:sz w:val="18"/>
                <w:szCs w:val="18"/>
              </w:rPr>
              <w:t>817</w:t>
            </w:r>
            <w:r>
              <w:rPr>
                <w:rFonts w:hint="eastAsia" w:ascii="宋体" w:hAnsi="宋体" w:cs="宋体"/>
                <w:sz w:val="18"/>
                <w:szCs w:val="18"/>
                <w:lang w:val="en-US" w:eastAsia="zh-CN"/>
              </w:rPr>
              <w:t>,</w:t>
            </w:r>
            <w:r>
              <w:rPr>
                <w:rFonts w:hint="eastAsia" w:ascii="宋体" w:hAnsi="宋体" w:eastAsia="宋体" w:cs="宋体"/>
                <w:sz w:val="18"/>
                <w:szCs w:val="18"/>
              </w:rPr>
              <w:t>436.1</w:t>
            </w:r>
            <w:r>
              <w:rPr>
                <w:rFonts w:hint="eastAsia" w:ascii="宋体" w:hAnsi="宋体" w:cs="宋体"/>
                <w:sz w:val="18"/>
                <w:szCs w:val="18"/>
                <w:lang w:val="en-US" w:eastAsia="zh-CN"/>
              </w:rPr>
              <w:t>0</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6,925,197.35</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6</w:t>
            </w:r>
            <w:r>
              <w:rPr>
                <w:rFonts w:hint="eastAsia" w:ascii="宋体" w:hAnsi="宋体" w:cs="宋体"/>
                <w:sz w:val="18"/>
                <w:szCs w:val="18"/>
                <w:lang w:val="en-US" w:eastAsia="zh-CN"/>
              </w:rPr>
              <w:t>,</w:t>
            </w:r>
            <w:r>
              <w:rPr>
                <w:rFonts w:hint="eastAsia" w:ascii="宋体" w:hAnsi="宋体" w:eastAsia="宋体" w:cs="宋体"/>
                <w:sz w:val="18"/>
                <w:szCs w:val="18"/>
              </w:rPr>
              <w:t>817</w:t>
            </w:r>
            <w:r>
              <w:rPr>
                <w:rFonts w:hint="eastAsia" w:ascii="宋体" w:hAnsi="宋体" w:cs="宋体"/>
                <w:sz w:val="18"/>
                <w:szCs w:val="18"/>
                <w:lang w:val="en-US" w:eastAsia="zh-CN"/>
              </w:rPr>
              <w:t>,</w:t>
            </w:r>
            <w:r>
              <w:rPr>
                <w:rFonts w:hint="eastAsia" w:ascii="宋体" w:hAnsi="宋体" w:eastAsia="宋体" w:cs="宋体"/>
                <w:sz w:val="18"/>
                <w:szCs w:val="18"/>
              </w:rPr>
              <w:t>436.1</w:t>
            </w:r>
            <w:r>
              <w:rPr>
                <w:rFonts w:hint="eastAsia" w:ascii="宋体" w:hAnsi="宋体" w:cs="宋体"/>
                <w:sz w:val="18"/>
                <w:szCs w:val="18"/>
                <w:lang w:val="en-US" w:eastAsia="zh-CN"/>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其他地区</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1,011,032.73</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995,300.32</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1,011,032.73</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995,300.32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市场或客户类型</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合同类型</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按商品转让的时间分类</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按合同期限分类</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按销售渠道分类</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22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685"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12"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9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22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1,648,337,199.60</w:t>
            </w:r>
          </w:p>
        </w:tc>
        <w:tc>
          <w:tcPr>
            <w:tcW w:w="68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8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1,846,738,841.89</w:t>
            </w:r>
          </w:p>
        </w:tc>
        <w:tc>
          <w:tcPr>
            <w:tcW w:w="16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1,648,337,199.60</w:t>
            </w:r>
          </w:p>
        </w:tc>
      </w:tr>
    </w:tbl>
    <w:p>
      <w:pPr>
        <w:keepNext/>
        <w:keepLines/>
        <w:spacing w:before="300" w:after="300" w:line="280" w:lineRule="exact"/>
        <w:jc w:val="left"/>
        <w:outlineLvl w:val="2"/>
        <w:rPr>
          <w:rFonts w:ascii="宋体" w:hAnsi="宋体" w:eastAsia="宋体" w:cs="宋体"/>
          <w:b/>
          <w:bCs/>
          <w:sz w:val="21"/>
          <w:szCs w:val="21"/>
        </w:rPr>
      </w:pPr>
      <w:bookmarkStart w:id="304" w:name="_Toc989193"/>
      <w:r>
        <w:rPr>
          <w:rFonts w:ascii="宋体" w:hAnsi="宋体" w:eastAsia="宋体" w:cs="宋体"/>
          <w:b/>
          <w:bCs/>
          <w:sz w:val="21"/>
          <w:szCs w:val="21"/>
        </w:rPr>
        <w:t>46、税金及附加</w:t>
      </w:r>
      <w:bookmarkEnd w:id="30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1,077,410.34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673,134.05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461,747.20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293,781.70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7,253,212.27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4,699,229.57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412,099.40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255,483.11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土地增值税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11,997,689.82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1,718,798.56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1,211,281.94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307,831.47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195,854.47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车船使用税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5,447.92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23,230,109.06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7,334,212.76</w:t>
            </w:r>
          </w:p>
        </w:tc>
      </w:tr>
    </w:tbl>
    <w:p>
      <w:pPr>
        <w:keepNext/>
        <w:keepLines/>
        <w:spacing w:before="300" w:after="300" w:line="280" w:lineRule="exact"/>
        <w:jc w:val="left"/>
        <w:outlineLvl w:val="2"/>
        <w:rPr>
          <w:rFonts w:ascii="宋体" w:hAnsi="宋体" w:eastAsia="宋体" w:cs="宋体"/>
          <w:b/>
          <w:bCs/>
          <w:sz w:val="21"/>
          <w:szCs w:val="21"/>
        </w:rPr>
      </w:pPr>
      <w:bookmarkStart w:id="305" w:name="_Toc989194"/>
      <w:r>
        <w:rPr>
          <w:rFonts w:ascii="宋体" w:hAnsi="宋体" w:eastAsia="宋体" w:cs="宋体"/>
          <w:b/>
          <w:bCs/>
          <w:sz w:val="21"/>
          <w:szCs w:val="21"/>
        </w:rPr>
        <w:t>47、管理费用</w:t>
      </w:r>
      <w:bookmarkEnd w:id="30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68,670,655.46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36,915,969.42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咨询和服务费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7,233,752.18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2,371,263.21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折旧及摊销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4,513,002.32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3,380,339.87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899,835.11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501,941.40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业务招待费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130,697.36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227,403.28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广告宣传费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151,938.34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233,491.72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交通差旅费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359,259.18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156,715.15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3,662,655.14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3,290,555.94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85,621,795.09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47,077,679.99</w:t>
            </w:r>
          </w:p>
        </w:tc>
      </w:tr>
    </w:tbl>
    <w:p>
      <w:pPr>
        <w:keepNext/>
        <w:keepLines/>
        <w:spacing w:before="300" w:after="300" w:line="280" w:lineRule="exact"/>
        <w:jc w:val="left"/>
        <w:outlineLvl w:val="2"/>
        <w:rPr>
          <w:rFonts w:ascii="宋体" w:hAnsi="宋体" w:eastAsia="宋体" w:cs="宋体"/>
          <w:b/>
          <w:bCs/>
          <w:sz w:val="21"/>
          <w:szCs w:val="21"/>
        </w:rPr>
      </w:pPr>
      <w:bookmarkStart w:id="306" w:name="_Toc989195"/>
      <w:r>
        <w:rPr>
          <w:rFonts w:ascii="宋体" w:hAnsi="宋体" w:eastAsia="宋体" w:cs="宋体"/>
          <w:b/>
          <w:bCs/>
          <w:sz w:val="21"/>
          <w:szCs w:val="21"/>
        </w:rPr>
        <w:t>48、销售费用</w:t>
      </w:r>
      <w:bookmarkEnd w:id="30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7,129,402.58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11,309,494.91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折旧及摊销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2,562,163.21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4,461,473.09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广告促销费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1,946,341.18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1,452,543.07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bCs/>
                <w:sz w:val="18"/>
                <w:szCs w:val="18"/>
              </w:rPr>
              <w:t>水电费及清洁费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1,735,848.97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911,189.85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291,536.03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386,796.03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业务招待费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301,268.22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369,463.33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物料消耗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9,253.40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131,482.51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5,152,701.16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3,012,269.69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19,128,514.75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22,034,712.48</w:t>
            </w:r>
          </w:p>
        </w:tc>
      </w:tr>
    </w:tbl>
    <w:p>
      <w:pPr>
        <w:keepNext/>
        <w:keepLines/>
        <w:spacing w:before="300" w:after="300" w:line="280" w:lineRule="exact"/>
        <w:jc w:val="left"/>
        <w:outlineLvl w:val="2"/>
        <w:rPr>
          <w:rFonts w:ascii="宋体" w:hAnsi="宋体" w:eastAsia="宋体" w:cs="宋体"/>
          <w:b/>
          <w:bCs/>
          <w:sz w:val="21"/>
          <w:szCs w:val="21"/>
        </w:rPr>
      </w:pPr>
      <w:bookmarkStart w:id="307" w:name="_Toc989196"/>
      <w:r>
        <w:rPr>
          <w:rFonts w:ascii="宋体" w:hAnsi="宋体" w:eastAsia="宋体" w:cs="宋体"/>
          <w:b/>
          <w:bCs/>
          <w:sz w:val="21"/>
          <w:szCs w:val="21"/>
        </w:rPr>
        <w:t>49、研发费用</w:t>
      </w:r>
      <w:bookmarkEnd w:id="30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1,849,878.34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517,100.50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default" w:ascii="宋体" w:hAnsi="宋体" w:eastAsia="宋体" w:cs="宋体"/>
                <w:color w:val="auto"/>
                <w:sz w:val="18"/>
                <w:szCs w:val="18"/>
              </w:rPr>
              <w:t>信息技术服务费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268,755.28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折旧与摊销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115,917.44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16,898.02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1,965,795.78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802,753.80</w:t>
            </w:r>
          </w:p>
        </w:tc>
      </w:tr>
    </w:tbl>
    <w:p>
      <w:pPr>
        <w:keepNext/>
        <w:keepLines/>
        <w:spacing w:before="300" w:after="300" w:line="280" w:lineRule="exact"/>
        <w:jc w:val="left"/>
        <w:outlineLvl w:val="2"/>
        <w:rPr>
          <w:rFonts w:ascii="宋体" w:hAnsi="宋体" w:eastAsia="宋体" w:cs="宋体"/>
          <w:b/>
          <w:bCs/>
          <w:sz w:val="21"/>
          <w:szCs w:val="21"/>
        </w:rPr>
      </w:pPr>
      <w:bookmarkStart w:id="308" w:name="_Toc989197"/>
      <w:r>
        <w:rPr>
          <w:rFonts w:ascii="宋体" w:hAnsi="宋体" w:eastAsia="宋体" w:cs="宋体"/>
          <w:b/>
          <w:bCs/>
          <w:sz w:val="21"/>
          <w:szCs w:val="21"/>
        </w:rPr>
        <w:t>50、财务费用</w:t>
      </w:r>
      <w:bookmarkEnd w:id="3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利息费用净额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9,444,953.16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338,730.75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-4,682,945.54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-5,472,748.37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汇兑损益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670,928.14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842,578.74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手续费及其他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104,944.16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254,785.53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5,537,879.92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-4,036,653.35</w:t>
            </w:r>
          </w:p>
        </w:tc>
      </w:tr>
    </w:tbl>
    <w:p>
      <w:pPr>
        <w:keepNext/>
        <w:keepLines/>
        <w:spacing w:before="300" w:after="300" w:line="280" w:lineRule="exact"/>
        <w:jc w:val="left"/>
        <w:outlineLvl w:val="2"/>
        <w:rPr>
          <w:rFonts w:ascii="宋体" w:hAnsi="宋体" w:eastAsia="宋体" w:cs="宋体"/>
          <w:b/>
          <w:bCs/>
          <w:sz w:val="21"/>
          <w:szCs w:val="21"/>
        </w:rPr>
      </w:pPr>
      <w:bookmarkStart w:id="309" w:name="_Toc989198"/>
      <w:r>
        <w:rPr>
          <w:rFonts w:ascii="宋体" w:hAnsi="宋体" w:eastAsia="宋体" w:cs="宋体"/>
          <w:b/>
          <w:bCs/>
          <w:sz w:val="21"/>
          <w:szCs w:val="21"/>
        </w:rPr>
        <w:t>51、其他收益</w:t>
      </w:r>
      <w:bookmarkEnd w:id="30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产生其他收益的来源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一、计入其他收益的政府补助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8,480,891.46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6,575,043.88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其中：与递延收益相关的政府补助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1,747,472.18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1,488,875.50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直接计入当期损益的政府补助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6,733,419.28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5,086,168.38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二、其他与日常活动相关且计入其他收益的项目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10,158.93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49,829.40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其中：个税扣缴税款手续费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10,158.93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49,829.40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 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8,491,050.39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6,624,873.28</w:t>
            </w:r>
          </w:p>
        </w:tc>
      </w:tr>
    </w:tbl>
    <w:p>
      <w:pPr>
        <w:keepNext/>
        <w:keepLines/>
        <w:spacing w:before="300" w:after="300" w:line="280" w:lineRule="exact"/>
        <w:jc w:val="left"/>
        <w:outlineLvl w:val="2"/>
        <w:rPr>
          <w:rFonts w:ascii="宋体" w:hAnsi="宋体" w:eastAsia="宋体" w:cs="宋体"/>
          <w:b/>
          <w:bCs/>
          <w:sz w:val="21"/>
          <w:szCs w:val="21"/>
        </w:rPr>
      </w:pPr>
      <w:bookmarkStart w:id="310" w:name="_Toc989199"/>
      <w:r>
        <w:rPr>
          <w:rFonts w:ascii="宋体" w:hAnsi="宋体" w:eastAsia="宋体" w:cs="宋体"/>
          <w:b/>
          <w:bCs/>
          <w:sz w:val="21"/>
          <w:szCs w:val="21"/>
        </w:rPr>
        <w:t>52、公允价值变动收益</w:t>
      </w:r>
      <w:bookmarkEnd w:id="31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产生公允价值变动收益的来源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-10,477,822.50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-860,218.33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-2,215,610.00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-787,050.00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套期工具公允价值变动收益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786,300.00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-489,360.00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被套期项目公允价值变动收益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543,878.09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-12,008,283.18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-1,592,750.24</w:t>
            </w:r>
          </w:p>
        </w:tc>
      </w:tr>
    </w:tbl>
    <w:p>
      <w:pPr>
        <w:keepNext/>
        <w:keepLines/>
        <w:spacing w:before="300" w:after="300" w:line="280" w:lineRule="exact"/>
        <w:jc w:val="left"/>
        <w:outlineLvl w:val="2"/>
        <w:rPr>
          <w:rFonts w:ascii="宋体" w:hAnsi="宋体" w:eastAsia="宋体" w:cs="宋体"/>
          <w:b/>
          <w:bCs/>
          <w:sz w:val="21"/>
          <w:szCs w:val="21"/>
        </w:rPr>
      </w:pPr>
      <w:bookmarkStart w:id="311" w:name="_Toc989200"/>
      <w:r>
        <w:rPr>
          <w:rFonts w:ascii="宋体" w:hAnsi="宋体" w:eastAsia="宋体" w:cs="宋体"/>
          <w:b/>
          <w:bCs/>
          <w:sz w:val="21"/>
          <w:szCs w:val="21"/>
        </w:rPr>
        <w:t>53、投资收益</w:t>
      </w:r>
      <w:bookmarkEnd w:id="3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权益法核算的长期股权投资收益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10,897,171.28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处置长期股权投资产生的投资收益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8,785,410.47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交易性金融资产在持有期间的投资收益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3,132,190.40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12,132,798.02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其他权益工具投资在持有期间取得的股利收入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丧失控制权后，剩余股权按公允价值重新计量产生的利得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69,552,580.12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商品期货合约及T+D合约平仓收益（套期）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-5,314,788.02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-26,164.18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商品期货合约及T+D合约平仓收益（未指定套期）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-939,938.97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277,302.12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7,570,633.50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93,873,513.18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33,372,099.57</w:t>
            </w:r>
          </w:p>
        </w:tc>
      </w:tr>
    </w:tbl>
    <w:p>
      <w:pPr>
        <w:keepNext/>
        <w:keepLines/>
        <w:spacing w:before="300" w:after="300" w:line="280" w:lineRule="exact"/>
        <w:jc w:val="left"/>
        <w:outlineLvl w:val="2"/>
        <w:rPr>
          <w:rFonts w:ascii="宋体" w:hAnsi="宋体" w:eastAsia="宋体" w:cs="宋体"/>
          <w:b/>
          <w:bCs/>
          <w:sz w:val="21"/>
          <w:szCs w:val="21"/>
        </w:rPr>
      </w:pPr>
      <w:bookmarkStart w:id="312" w:name="_Toc989201"/>
      <w:r>
        <w:rPr>
          <w:rFonts w:ascii="宋体" w:hAnsi="宋体" w:eastAsia="宋体" w:cs="宋体"/>
          <w:b/>
          <w:bCs/>
          <w:sz w:val="21"/>
          <w:szCs w:val="21"/>
        </w:rPr>
        <w:t>54、信用减值损失</w:t>
      </w:r>
      <w:bookmarkEnd w:id="3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-607,094.36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-206,852.71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-107,251.93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-1,428,507.19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-714,346.29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-1,635,359.90</w:t>
            </w:r>
          </w:p>
        </w:tc>
      </w:tr>
    </w:tbl>
    <w:p>
      <w:pPr>
        <w:keepNext/>
        <w:keepLines/>
        <w:spacing w:before="300" w:after="300" w:line="280" w:lineRule="exact"/>
        <w:jc w:val="left"/>
        <w:outlineLvl w:val="2"/>
        <w:rPr>
          <w:rFonts w:ascii="宋体" w:hAnsi="宋体" w:eastAsia="宋体" w:cs="宋体"/>
          <w:b/>
          <w:bCs/>
          <w:sz w:val="21"/>
          <w:szCs w:val="21"/>
        </w:rPr>
      </w:pPr>
      <w:bookmarkStart w:id="313" w:name="_Toc989202"/>
      <w:r>
        <w:rPr>
          <w:rFonts w:ascii="宋体" w:hAnsi="宋体" w:eastAsia="宋体" w:cs="宋体"/>
          <w:b/>
          <w:bCs/>
          <w:sz w:val="21"/>
          <w:szCs w:val="21"/>
        </w:rPr>
        <w:t>55、资产减值损失</w:t>
      </w:r>
      <w:bookmarkEnd w:id="3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一、存货跌价损失及合同履约成本减值损失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-208,813.79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-1,616,086.03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四、固定资产减值损失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-838,121.78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-123,400.26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十二、其他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-1,046,935.57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-1,839,486.29</w:t>
            </w:r>
          </w:p>
        </w:tc>
      </w:tr>
    </w:tbl>
    <w:p>
      <w:pPr>
        <w:keepNext/>
        <w:keepLines/>
        <w:spacing w:before="300" w:after="300" w:line="280" w:lineRule="exact"/>
        <w:jc w:val="left"/>
        <w:outlineLvl w:val="2"/>
        <w:rPr>
          <w:rFonts w:ascii="宋体" w:hAnsi="宋体" w:eastAsia="宋体" w:cs="宋体"/>
          <w:b/>
          <w:bCs/>
          <w:sz w:val="21"/>
          <w:szCs w:val="21"/>
        </w:rPr>
      </w:pPr>
      <w:bookmarkStart w:id="314" w:name="_Toc989203"/>
      <w:r>
        <w:rPr>
          <w:rFonts w:ascii="宋体" w:hAnsi="宋体" w:eastAsia="宋体" w:cs="宋体"/>
          <w:b/>
          <w:bCs/>
          <w:sz w:val="21"/>
          <w:szCs w:val="21"/>
        </w:rPr>
        <w:t>56、资产处置收益</w:t>
      </w:r>
      <w:bookmarkEnd w:id="3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资产处置收益的来源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固定资产处置利得（损失以“-”号填列）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-59,110.10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40,765.92</w:t>
            </w:r>
          </w:p>
        </w:tc>
      </w:tr>
    </w:tbl>
    <w:p>
      <w:pPr>
        <w:keepNext/>
        <w:keepLines/>
        <w:spacing w:before="300" w:after="300" w:line="280" w:lineRule="exact"/>
        <w:jc w:val="left"/>
        <w:outlineLvl w:val="2"/>
        <w:rPr>
          <w:rFonts w:ascii="宋体" w:hAnsi="宋体" w:eastAsia="宋体" w:cs="宋体"/>
          <w:b/>
          <w:bCs/>
          <w:sz w:val="21"/>
          <w:szCs w:val="21"/>
        </w:rPr>
      </w:pPr>
      <w:bookmarkStart w:id="315" w:name="_Toc989204"/>
      <w:r>
        <w:rPr>
          <w:rFonts w:ascii="宋体" w:hAnsi="宋体" w:eastAsia="宋体" w:cs="宋体"/>
          <w:b/>
          <w:bCs/>
          <w:sz w:val="21"/>
          <w:szCs w:val="21"/>
        </w:rPr>
        <w:t>57、营业外收入</w:t>
      </w:r>
      <w:bookmarkEnd w:id="3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无法支付款项利得</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1,620,390.54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2,031,600.42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1,620,390.54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770,443.76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2,103,054.01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770,443.76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2,390,834.30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4,134,654.43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2,390,834.30</w:t>
            </w:r>
          </w:p>
        </w:tc>
      </w:tr>
    </w:tbl>
    <w:p>
      <w:pPr>
        <w:keepNext/>
        <w:keepLines/>
        <w:spacing w:before="300" w:after="300" w:line="280" w:lineRule="exact"/>
        <w:jc w:val="left"/>
        <w:outlineLvl w:val="2"/>
        <w:rPr>
          <w:rFonts w:ascii="宋体" w:hAnsi="宋体" w:eastAsia="宋体" w:cs="宋体"/>
          <w:b/>
          <w:bCs/>
          <w:sz w:val="21"/>
          <w:szCs w:val="21"/>
        </w:rPr>
      </w:pPr>
      <w:bookmarkStart w:id="316" w:name="_Toc989205"/>
      <w:r>
        <w:rPr>
          <w:rFonts w:ascii="宋体" w:hAnsi="宋体" w:eastAsia="宋体" w:cs="宋体"/>
          <w:b/>
          <w:bCs/>
          <w:sz w:val="21"/>
          <w:szCs w:val="21"/>
        </w:rPr>
        <w:t>58、营业外支出</w:t>
      </w:r>
      <w:bookmarkEnd w:id="31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非流动资产毁损报废损失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17,991.92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26,698.77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17,991.92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固定资产盘亏损失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滞纳金、违约金支出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185,239.70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185,239.70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116,065.40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389,383.00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116,065.40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319,297.02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416,462.25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319,297.02</w:t>
            </w:r>
          </w:p>
        </w:tc>
      </w:tr>
    </w:tbl>
    <w:p>
      <w:pPr>
        <w:keepNext/>
        <w:keepLines/>
        <w:spacing w:before="300" w:after="300" w:line="280" w:lineRule="exact"/>
        <w:jc w:val="left"/>
        <w:outlineLvl w:val="2"/>
        <w:rPr>
          <w:rFonts w:ascii="宋体" w:hAnsi="宋体" w:eastAsia="宋体" w:cs="宋体"/>
          <w:b/>
          <w:bCs/>
          <w:sz w:val="21"/>
          <w:szCs w:val="21"/>
        </w:rPr>
      </w:pPr>
      <w:bookmarkStart w:id="317" w:name="_Toc989206"/>
      <w:r>
        <w:rPr>
          <w:rFonts w:ascii="宋体" w:hAnsi="宋体" w:eastAsia="宋体" w:cs="宋体"/>
          <w:b/>
          <w:bCs/>
          <w:sz w:val="21"/>
          <w:szCs w:val="21"/>
        </w:rPr>
        <w:t>59、所得税费用</w:t>
      </w:r>
      <w:bookmarkEnd w:id="317"/>
    </w:p>
    <w:p>
      <w:pPr>
        <w:keepNext/>
        <w:keepLines/>
        <w:spacing w:before="300" w:after="300" w:line="280" w:lineRule="exact"/>
        <w:jc w:val="left"/>
        <w:outlineLvl w:val="3"/>
        <w:rPr>
          <w:rFonts w:ascii="宋体" w:hAnsi="宋体" w:eastAsia="宋体" w:cs="宋体"/>
          <w:b/>
          <w:bCs/>
          <w:sz w:val="21"/>
          <w:szCs w:val="21"/>
        </w:rPr>
      </w:pPr>
      <w:bookmarkStart w:id="318" w:name="_Toc989207"/>
      <w:r>
        <w:rPr>
          <w:rFonts w:ascii="宋体" w:hAnsi="宋体" w:eastAsia="宋体" w:cs="宋体"/>
          <w:b/>
          <w:bCs/>
          <w:sz w:val="21"/>
          <w:szCs w:val="21"/>
        </w:rPr>
        <w:t>（1） 所得税费用表</w:t>
      </w:r>
      <w:bookmarkEnd w:id="31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当期所得税费用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29,670,941.56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21,369,893.20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12,413,564.92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153,302.88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42,084,506.48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21,523,196.08</w:t>
            </w:r>
          </w:p>
        </w:tc>
      </w:tr>
    </w:tbl>
    <w:p>
      <w:pPr>
        <w:keepNext/>
        <w:keepLines/>
        <w:spacing w:before="300" w:after="300" w:line="280" w:lineRule="exact"/>
        <w:jc w:val="left"/>
        <w:outlineLvl w:val="3"/>
        <w:rPr>
          <w:rFonts w:ascii="宋体" w:hAnsi="宋体" w:eastAsia="宋体" w:cs="宋体"/>
          <w:b/>
          <w:bCs/>
          <w:sz w:val="21"/>
          <w:szCs w:val="21"/>
        </w:rPr>
      </w:pPr>
      <w:bookmarkStart w:id="319" w:name="_Toc989208"/>
      <w:r>
        <w:rPr>
          <w:rFonts w:ascii="宋体" w:hAnsi="宋体" w:eastAsia="宋体" w:cs="宋体"/>
          <w:b/>
          <w:bCs/>
          <w:sz w:val="21"/>
          <w:szCs w:val="21"/>
        </w:rPr>
        <w:t>（2） 会计利润与所得税费用调整过程</w:t>
      </w:r>
      <w:bookmarkEnd w:id="3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利润总额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153,524,973.40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按法定/适用税率计算的所得税费用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38,381,243.35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子公司适用不同税率的影响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-1,507,681.03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调整以前期间所得税的影响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1,416,729.31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不可抵扣的成本、费用和损失的影响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3,383,829.40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权益法核算的合营企业和联营企业损益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-4,786,295.21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利用以前年度未确认可抵扣亏损和可抵扣暂时性差异的纳税影响（以“-”填列）</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-1,571,079.25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未确认可抵扣亏损和可抵扣暂时性差异的纳税影响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6,767,759.91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42,084,506.48</w:t>
            </w:r>
          </w:p>
        </w:tc>
      </w:tr>
    </w:tbl>
    <w:p>
      <w:pPr>
        <w:keepNext/>
        <w:keepLines/>
        <w:spacing w:before="300" w:after="300" w:line="280" w:lineRule="exact"/>
        <w:jc w:val="left"/>
        <w:outlineLvl w:val="2"/>
        <w:rPr>
          <w:rFonts w:ascii="宋体" w:hAnsi="宋体" w:eastAsia="宋体" w:cs="宋体"/>
          <w:b/>
          <w:bCs/>
          <w:sz w:val="21"/>
          <w:szCs w:val="21"/>
        </w:rPr>
      </w:pPr>
      <w:bookmarkStart w:id="320" w:name="_Toc989209"/>
      <w:r>
        <w:rPr>
          <w:rFonts w:ascii="宋体" w:hAnsi="宋体" w:eastAsia="宋体" w:cs="宋体"/>
          <w:b/>
          <w:bCs/>
          <w:sz w:val="21"/>
          <w:szCs w:val="21"/>
        </w:rPr>
        <w:t>60、其他综合收益</w:t>
      </w:r>
      <w:bookmarkEnd w:id="320"/>
    </w:p>
    <w:p>
      <w:pPr>
        <w:spacing w:before="40" w:after="40" w:line="240" w:lineRule="exact"/>
        <w:jc w:val="left"/>
        <w:rPr>
          <w:rFonts w:ascii="宋体" w:hAnsi="宋体" w:eastAsia="宋体" w:cs="宋体"/>
          <w:sz w:val="18"/>
          <w:szCs w:val="18"/>
        </w:rPr>
      </w:pPr>
      <w:r>
        <w:rPr>
          <w:rFonts w:ascii="宋体" w:hAnsi="宋体" w:eastAsia="宋体" w:cs="宋体"/>
          <w:sz w:val="18"/>
          <w:szCs w:val="18"/>
        </w:rPr>
        <w:t>详见附注五、42。</w:t>
      </w:r>
    </w:p>
    <w:p>
      <w:pPr>
        <w:keepNext/>
        <w:keepLines/>
        <w:spacing w:before="300" w:after="300" w:line="280" w:lineRule="exact"/>
        <w:jc w:val="left"/>
        <w:outlineLvl w:val="2"/>
        <w:rPr>
          <w:rFonts w:ascii="宋体" w:hAnsi="宋体" w:eastAsia="宋体" w:cs="宋体"/>
          <w:b/>
          <w:bCs/>
          <w:sz w:val="21"/>
          <w:szCs w:val="21"/>
        </w:rPr>
      </w:pPr>
      <w:bookmarkStart w:id="321" w:name="_Toc989210"/>
      <w:r>
        <w:rPr>
          <w:rFonts w:ascii="宋体" w:hAnsi="宋体" w:eastAsia="宋体" w:cs="宋体"/>
          <w:b/>
          <w:bCs/>
          <w:sz w:val="21"/>
          <w:szCs w:val="21"/>
        </w:rPr>
        <w:t>61、现金流量表项目</w:t>
      </w:r>
      <w:bookmarkEnd w:id="321"/>
    </w:p>
    <w:p>
      <w:pPr>
        <w:keepNext/>
        <w:keepLines/>
        <w:spacing w:before="300" w:after="300" w:line="280" w:lineRule="exact"/>
        <w:jc w:val="left"/>
        <w:outlineLvl w:val="3"/>
        <w:rPr>
          <w:rFonts w:ascii="宋体" w:hAnsi="宋体" w:eastAsia="宋体" w:cs="宋体"/>
          <w:b/>
          <w:bCs/>
          <w:sz w:val="21"/>
          <w:szCs w:val="21"/>
        </w:rPr>
      </w:pPr>
      <w:bookmarkStart w:id="322" w:name="_Toc989211"/>
      <w:r>
        <w:rPr>
          <w:rFonts w:ascii="宋体" w:hAnsi="宋体" w:eastAsia="宋体" w:cs="宋体"/>
          <w:b/>
          <w:bCs/>
          <w:sz w:val="21"/>
          <w:szCs w:val="21"/>
        </w:rPr>
        <w:t>（1） 与经营活动有关的现金</w:t>
      </w:r>
      <w:bookmarkEnd w:id="322"/>
    </w:p>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收到的其他与经营活动有关的现金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30,178,690.12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1,107,514.15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4,601,226.17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1,871,273.53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收到的政府补助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5,489,668.98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6,838,363.60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收到黄金租赁保证金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4,040,160.00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8,984,997.82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13,503,115.65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53,294,743.09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23,320,266.93</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支付的其他与经营活动有关的现金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付现费用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24,693,611.96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13,437,173.48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18,200,617.62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583,931.98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罚款违约金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78,857.09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389,418.56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支付黄金租赁保证金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49,095,661.55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15,440,288.31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4,408,405.00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b w:val="0"/>
                <w:bCs w:val="0"/>
                <w:sz w:val="18"/>
                <w:szCs w:val="18"/>
              </w:rPr>
              <w:t>107,509,036.53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18,818,929.02</w:t>
            </w:r>
          </w:p>
        </w:tc>
      </w:tr>
    </w:tbl>
    <w:p>
      <w:pPr>
        <w:keepNext/>
        <w:keepLines/>
        <w:spacing w:before="300" w:after="300" w:line="280" w:lineRule="exact"/>
        <w:jc w:val="left"/>
        <w:outlineLvl w:val="3"/>
        <w:rPr>
          <w:rFonts w:ascii="宋体" w:hAnsi="宋体" w:eastAsia="宋体" w:cs="宋体"/>
          <w:b/>
          <w:bCs/>
          <w:sz w:val="21"/>
          <w:szCs w:val="21"/>
        </w:rPr>
      </w:pPr>
      <w:bookmarkStart w:id="323" w:name="_Toc989212"/>
      <w:r>
        <w:rPr>
          <w:rFonts w:ascii="宋体" w:hAnsi="宋体" w:eastAsia="宋体" w:cs="宋体"/>
          <w:b/>
          <w:bCs/>
          <w:sz w:val="21"/>
          <w:szCs w:val="21"/>
        </w:rPr>
        <w:t>（2） 与投资活动有关的现金</w:t>
      </w:r>
      <w:bookmarkEnd w:id="323"/>
    </w:p>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收到的其他与投资活动有关的现金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收回监管资金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10,665,656.00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15,998,484.00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46,628.16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10,712,284.16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15,998,484.00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收到的重要的与投资活动有关的现金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结构性存款与理财产品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350,000,000.00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支付的其他与投资活动有关的现金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套期工具保证金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1,466,070.40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8,955,842.00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特发华日出表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6,527,338.78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78,987.06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8,072,396.24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8,955,842.00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支付的重要的与投资活动有关的现金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结构性存款与理财产品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320,000,000.00</w:t>
            </w:r>
          </w:p>
        </w:tc>
      </w:tr>
    </w:tbl>
    <w:p>
      <w:pPr>
        <w:keepNext/>
        <w:keepLines/>
        <w:spacing w:before="300" w:after="300" w:line="280" w:lineRule="exact"/>
        <w:jc w:val="left"/>
        <w:outlineLvl w:val="3"/>
        <w:rPr>
          <w:rFonts w:ascii="宋体" w:hAnsi="宋体" w:eastAsia="宋体" w:cs="宋体"/>
          <w:b/>
          <w:bCs/>
          <w:sz w:val="21"/>
          <w:szCs w:val="21"/>
        </w:rPr>
      </w:pPr>
      <w:bookmarkStart w:id="324" w:name="_Toc989213"/>
      <w:r>
        <w:rPr>
          <w:rFonts w:ascii="宋体" w:hAnsi="宋体" w:eastAsia="宋体" w:cs="宋体"/>
          <w:b/>
          <w:bCs/>
          <w:sz w:val="21"/>
          <w:szCs w:val="21"/>
        </w:rPr>
        <w:t>（3） 与筹资活动有关的现金</w:t>
      </w:r>
      <w:bookmarkEnd w:id="324"/>
    </w:p>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收到的其他与筹资活动有关的现金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收回租赁的保证金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253,420.00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253,420.00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支付的其他与筹资活动有关的现金</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支付少数股东资本金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支付租赁的保证金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1,515,467.96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支付租赁负债的本金和利息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809,217.19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2,874,145.90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7,224,685.15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2,874,145.90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筹资活动产生的各项负债变动情况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9"/>
        <w:gridCol w:w="1530"/>
        <w:gridCol w:w="1575"/>
        <w:gridCol w:w="1335"/>
        <w:gridCol w:w="1605"/>
        <w:gridCol w:w="855"/>
        <w:gridCol w:w="17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53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91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46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7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vMerge w:val="continue"/>
            <w:tcBorders>
              <w:top w:val="single" w:color="auto" w:sz="2" w:space="0"/>
              <w:left w:val="single" w:color="auto" w:sz="2" w:space="0"/>
              <w:bottom w:val="single" w:color="auto" w:sz="2" w:space="0"/>
              <w:right w:val="single" w:color="auto" w:sz="2" w:space="0"/>
            </w:tcBorders>
            <w:vAlign w:val="center"/>
          </w:tcPr>
          <w:p/>
        </w:tc>
        <w:tc>
          <w:tcPr>
            <w:tcW w:w="1530" w:type="dxa"/>
            <w:vMerge w:val="continue"/>
            <w:tcBorders>
              <w:top w:val="single" w:color="auto" w:sz="2" w:space="0"/>
              <w:left w:val="single" w:color="auto" w:sz="2" w:space="0"/>
              <w:bottom w:val="single" w:color="auto" w:sz="2" w:space="0"/>
              <w:right w:val="single" w:color="auto" w:sz="2" w:space="0"/>
            </w:tcBorders>
            <w:vAlign w:val="center"/>
          </w:tcPr>
          <w:p/>
        </w:tc>
        <w:tc>
          <w:tcPr>
            <w:tcW w:w="15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现金变动</w:t>
            </w:r>
          </w:p>
        </w:tc>
        <w:tc>
          <w:tcPr>
            <w:tcW w:w="13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非现金变动</w:t>
            </w:r>
          </w:p>
        </w:tc>
        <w:tc>
          <w:tcPr>
            <w:tcW w:w="16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现金变动</w:t>
            </w:r>
          </w:p>
        </w:tc>
        <w:tc>
          <w:tcPr>
            <w:tcW w:w="85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非现金变动</w:t>
            </w:r>
          </w:p>
        </w:tc>
        <w:tc>
          <w:tcPr>
            <w:tcW w:w="17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短期借款</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333,976,350.00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3,736,901.47</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192,581,557.03</w:t>
            </w:r>
          </w:p>
        </w:tc>
        <w:tc>
          <w:tcPr>
            <w:tcW w:w="8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145,131,694.44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长期借款</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144,820,511.42</w:t>
            </w:r>
          </w:p>
        </w:tc>
        <w:tc>
          <w:tcPr>
            <w:tcW w:w="15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25,693,122.83</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4,511,712.61</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175,025,346.86</w:t>
            </w:r>
          </w:p>
        </w:tc>
        <w:tc>
          <w:tcPr>
            <w:tcW w:w="8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租赁负债</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4,936,004.08</w:t>
            </w:r>
          </w:p>
        </w:tc>
        <w:tc>
          <w:tcPr>
            <w:tcW w:w="15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sz w:val="18"/>
                <w:szCs w:val="18"/>
                <w:lang w:eastAsia="zh"/>
              </w:rPr>
              <w:t>1,710,282.74</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sz w:val="18"/>
                <w:szCs w:val="18"/>
                <w:lang w:eastAsia="zh"/>
              </w:rPr>
              <w:t>3,271,797.88</w:t>
            </w:r>
          </w:p>
        </w:tc>
        <w:tc>
          <w:tcPr>
            <w:tcW w:w="8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sz w:val="18"/>
                <w:szCs w:val="18"/>
              </w:rPr>
              <w:t>76,828,861.55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3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149,756,515.50</w:t>
            </w:r>
          </w:p>
        </w:tc>
        <w:tc>
          <w:tcPr>
            <w:tcW w:w="15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359,669,472.83</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9,958,896.82</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370,878,701.77</w:t>
            </w:r>
          </w:p>
        </w:tc>
        <w:tc>
          <w:tcPr>
            <w:tcW w:w="8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221,960,555.99</w:t>
            </w:r>
          </w:p>
        </w:tc>
      </w:tr>
    </w:tbl>
    <w:p>
      <w:pPr>
        <w:keepNext/>
        <w:keepLines/>
        <w:spacing w:before="300" w:after="300" w:line="280" w:lineRule="exact"/>
        <w:jc w:val="left"/>
        <w:outlineLvl w:val="2"/>
        <w:rPr>
          <w:rFonts w:ascii="宋体" w:hAnsi="宋体" w:eastAsia="宋体" w:cs="宋体"/>
          <w:b/>
          <w:bCs/>
          <w:sz w:val="21"/>
          <w:szCs w:val="21"/>
        </w:rPr>
      </w:pPr>
      <w:bookmarkStart w:id="325" w:name="_Toc989214"/>
      <w:r>
        <w:rPr>
          <w:rFonts w:ascii="宋体" w:hAnsi="宋体" w:eastAsia="宋体" w:cs="宋体"/>
          <w:b/>
          <w:bCs/>
          <w:sz w:val="21"/>
          <w:szCs w:val="21"/>
        </w:rPr>
        <w:t>62、现金流量表补充资料</w:t>
      </w:r>
      <w:bookmarkEnd w:id="325"/>
    </w:p>
    <w:p>
      <w:pPr>
        <w:keepNext/>
        <w:keepLines/>
        <w:spacing w:before="300" w:after="300" w:line="280" w:lineRule="exact"/>
        <w:jc w:val="left"/>
        <w:outlineLvl w:val="3"/>
        <w:rPr>
          <w:rFonts w:ascii="宋体" w:hAnsi="宋体" w:eastAsia="宋体" w:cs="宋体"/>
          <w:b/>
          <w:bCs/>
          <w:sz w:val="21"/>
          <w:szCs w:val="21"/>
        </w:rPr>
      </w:pPr>
      <w:bookmarkStart w:id="326" w:name="_Toc989215"/>
      <w:r>
        <w:rPr>
          <w:rFonts w:ascii="宋体" w:hAnsi="宋体" w:eastAsia="宋体" w:cs="宋体"/>
          <w:b/>
          <w:bCs/>
          <w:sz w:val="21"/>
          <w:szCs w:val="21"/>
        </w:rPr>
        <w:t>（1） 现金流量表补充资料</w:t>
      </w:r>
      <w:bookmarkEnd w:id="32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49"/>
        <w:gridCol w:w="1890"/>
        <w:gridCol w:w="17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补充资料</w:t>
            </w:r>
          </w:p>
        </w:tc>
        <w:tc>
          <w:tcPr>
            <w:tcW w:w="189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本期金额</w:t>
            </w:r>
          </w:p>
        </w:tc>
        <w:tc>
          <w:tcPr>
            <w:tcW w:w="17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1．将净利润调节为经营活动现金流量</w:t>
            </w:r>
          </w:p>
        </w:tc>
        <w:tc>
          <w:tcPr>
            <w:tcW w:w="189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0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净利润</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111,440,466.92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81,319,463.85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加：资产减值准备</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1,761,281.86</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3,474,846.19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固定资产折旧、油气资产折耗、生产性生物资产折旧</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37,924,212.30</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36,135,739.82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使用权资产折旧</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6,481,996.22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2,992,203.84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无形资产摊销</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1,178,005.72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318,457.10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长期待摊费用摊销</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6,447,382.15</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5,145,426.72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处置固定资产、无形资产和其他长期资产的损失（收益以“－”号填列）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-59,110.10</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-14,067.15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固定资产报废损失（收益以“－”号填列）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17,991.92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公允价值变动损失（收益以“－”号填列）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12,008,283.18</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1,592,750.24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财务费用（收益以“－”号填列）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9,444,953.16</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-2,420,165.35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投资损失（收益以“－”号填列）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-93,873,513.18</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-33,372,099.57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递延所得税资产减少（增加以“－”号填列）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-29,318,423.66</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-18,682.74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递延所得税负债增加（减少以“－”号填列）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36,817,730.02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171,985.62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存货的减少（增加以“－”号填列）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-54,724,534.68</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-91,706,958.29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经营性应收项目的减少（增加以“－”号填列）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-102,166,911.92</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-109,076,820.34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经营性应付项目的增加（减少以“－”号填列）</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-3,519,816.37</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53,489,810.85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其他</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-60,140,006.46</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-51,967,764.29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2．不涉及现金收支的重大投资和筹资活动</w:t>
            </w:r>
          </w:p>
        </w:tc>
        <w:tc>
          <w:tcPr>
            <w:tcW w:w="189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0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债务转为资本</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一年内到期的可转换公司债券</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融资租入固定资产</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74,305,047.63</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3．现金及现金等价物净变动情况：</w:t>
            </w:r>
          </w:p>
        </w:tc>
        <w:tc>
          <w:tcPr>
            <w:tcW w:w="189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0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现金的期末余额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160,223,387.69</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减：现金的期初余额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211,655,585.86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加：现金等价物的期末余额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减：现金等价物的期初余额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4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现金及现金等价物净增加额</w:t>
            </w:r>
          </w:p>
        </w:tc>
        <w:tc>
          <w:tcPr>
            <w:tcW w:w="18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-231,183,441.67</w:t>
            </w:r>
          </w:p>
        </w:tc>
        <w:tc>
          <w:tcPr>
            <w:tcW w:w="17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179,751,243.50</w:t>
            </w:r>
          </w:p>
        </w:tc>
      </w:tr>
    </w:tbl>
    <w:p>
      <w:pPr>
        <w:keepNext/>
        <w:keepLines/>
        <w:spacing w:before="300" w:after="300" w:line="280" w:lineRule="exact"/>
        <w:jc w:val="left"/>
        <w:outlineLvl w:val="3"/>
        <w:rPr>
          <w:rFonts w:ascii="宋体" w:hAnsi="宋体" w:eastAsia="宋体" w:cs="宋体"/>
          <w:b/>
          <w:bCs/>
          <w:sz w:val="21"/>
          <w:szCs w:val="21"/>
        </w:rPr>
      </w:pPr>
      <w:bookmarkStart w:id="327" w:name="_Toc989216"/>
      <w:r>
        <w:rPr>
          <w:rFonts w:ascii="宋体" w:hAnsi="宋体" w:eastAsia="宋体" w:cs="宋体"/>
          <w:b/>
          <w:bCs/>
          <w:sz w:val="21"/>
          <w:szCs w:val="21"/>
        </w:rPr>
        <w:t>（2） 本期收到的处置子公司的现金净额</w:t>
      </w:r>
      <w:bookmarkEnd w:id="32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减：丧失控制权日子公司持有的现金及现金等价物</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6,527,338.78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深圳特发华日汽车企业有限公司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6,527,338.78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处置子公司收到的现金净额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-6,527,338.78</w:t>
            </w:r>
          </w:p>
        </w:tc>
      </w:tr>
    </w:tbl>
    <w:p>
      <w:pPr>
        <w:keepNext/>
        <w:keepLines/>
        <w:spacing w:before="300" w:after="300" w:line="280" w:lineRule="exact"/>
        <w:jc w:val="left"/>
        <w:outlineLvl w:val="3"/>
        <w:rPr>
          <w:rFonts w:ascii="宋体" w:hAnsi="宋体" w:eastAsia="宋体" w:cs="宋体"/>
          <w:b/>
          <w:bCs/>
          <w:sz w:val="21"/>
          <w:szCs w:val="21"/>
        </w:rPr>
      </w:pPr>
      <w:bookmarkStart w:id="328" w:name="_Toc989217"/>
      <w:r>
        <w:rPr>
          <w:rFonts w:ascii="宋体" w:hAnsi="宋体" w:eastAsia="宋体" w:cs="宋体"/>
          <w:b/>
          <w:bCs/>
          <w:sz w:val="21"/>
          <w:szCs w:val="21"/>
        </w:rPr>
        <w:t>（3） 现金和现金等价物的构成</w:t>
      </w:r>
      <w:bookmarkEnd w:id="3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160,223,387.69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17,215.98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25,673.67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可随时用于支付的银行存款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120,361,253.61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381,593,235.55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可随时用于支付的其他货币资金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39,844,918.10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9,787,920.14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160,223,387.69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391,406,829.36</w:t>
            </w:r>
          </w:p>
        </w:tc>
      </w:tr>
    </w:tbl>
    <w:p>
      <w:pPr>
        <w:keepNext/>
        <w:keepLines/>
        <w:spacing w:before="300" w:after="300" w:line="280" w:lineRule="exact"/>
        <w:jc w:val="left"/>
        <w:outlineLvl w:val="3"/>
        <w:rPr>
          <w:rFonts w:ascii="宋体" w:hAnsi="宋体" w:eastAsia="宋体" w:cs="宋体"/>
          <w:b/>
          <w:bCs/>
          <w:sz w:val="21"/>
          <w:szCs w:val="21"/>
        </w:rPr>
      </w:pPr>
      <w:bookmarkStart w:id="329" w:name="_Toc989218"/>
      <w:r>
        <w:rPr>
          <w:rFonts w:ascii="宋体" w:hAnsi="宋体" w:eastAsia="宋体" w:cs="宋体"/>
          <w:b/>
          <w:bCs/>
          <w:sz w:val="21"/>
          <w:szCs w:val="21"/>
        </w:rPr>
        <w:t>（4） 不属于现金及现金等价物的货币资金</w:t>
      </w:r>
      <w:bookmarkEnd w:id="32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不属于现金及现金等价物的理由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产业园03升级改造项目地块项目的监管资金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10,665,656.00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升级改造项目监管资金受限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7"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履约保函保证金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履约保函受限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黄金租赁保证金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51,000,666.67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开展黄金租赁业务保证金受限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期货期权账户保证金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8,188,990.60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8,955,842.00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开展黄金期货交易业务保证金受限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5"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hint="eastAsia" w:ascii="宋体" w:hAnsi="宋体" w:eastAsia="宋体" w:cs="宋体"/>
                <w:color w:val="auto"/>
                <w:kern w:val="0"/>
                <w:sz w:val="18"/>
                <w:szCs w:val="18"/>
              </w:rPr>
              <w:t>司法控制金额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hint="eastAsia" w:ascii="宋体" w:hAnsi="宋体" w:eastAsia="宋体" w:cs="宋体"/>
                <w:sz w:val="18"/>
                <w:szCs w:val="18"/>
              </w:rPr>
              <w:t>600,000.00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hint="eastAsia" w:ascii="宋体" w:hAnsi="宋体" w:eastAsia="宋体" w:cs="宋体"/>
                <w:color w:val="auto"/>
                <w:kern w:val="0"/>
                <w:sz w:val="18"/>
                <w:szCs w:val="18"/>
              </w:rPr>
              <w:t>司法控制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5"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color w:val="auto"/>
                <w:kern w:val="0"/>
                <w:sz w:val="18"/>
                <w:szCs w:val="18"/>
              </w:rPr>
            </w:pPr>
            <w:r>
              <w:rPr>
                <w:rFonts w:hint="eastAsia" w:ascii="宋体" w:hAnsi="宋体" w:eastAsia="宋体" w:cs="宋体"/>
                <w:kern w:val="0"/>
                <w:sz w:val="18"/>
                <w:szCs w:val="18"/>
              </w:rPr>
              <w:t>计提的保证金存款利息</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eastAsia" w:ascii="宋体" w:hAnsi="宋体" w:eastAsia="宋体" w:cs="宋体"/>
                <w:sz w:val="18"/>
                <w:szCs w:val="18"/>
              </w:rPr>
            </w:pPr>
            <w:r>
              <w:rPr>
                <w:rFonts w:hint="eastAsia" w:ascii="宋体" w:hAnsi="宋体" w:eastAsia="宋体" w:cs="宋体"/>
                <w:sz w:val="18"/>
                <w:szCs w:val="18"/>
              </w:rPr>
              <w:t>327,916.68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color w:val="auto"/>
                <w:kern w:val="0"/>
                <w:sz w:val="18"/>
                <w:szCs w:val="18"/>
              </w:rPr>
            </w:pPr>
            <w:r>
              <w:rPr>
                <w:rFonts w:hint="eastAsia" w:ascii="宋体" w:hAnsi="宋体" w:eastAsia="宋体" w:cs="宋体"/>
                <w:kern w:val="0"/>
                <w:sz w:val="18"/>
                <w:szCs w:val="18"/>
              </w:rPr>
              <w:t>未实际收到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b/>
                <w:sz w:val="18"/>
                <w:szCs w:val="18"/>
              </w:rPr>
              <w:t>60,117,573.95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21,621,498.00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2"/>
        <w:rPr>
          <w:rFonts w:ascii="宋体" w:hAnsi="宋体" w:eastAsia="宋体" w:cs="宋体"/>
          <w:b/>
          <w:bCs/>
          <w:sz w:val="21"/>
          <w:szCs w:val="21"/>
        </w:rPr>
      </w:pPr>
      <w:bookmarkStart w:id="330" w:name="_Toc989219"/>
      <w:r>
        <w:rPr>
          <w:rFonts w:ascii="宋体" w:hAnsi="宋体" w:eastAsia="宋体" w:cs="宋体"/>
          <w:b/>
          <w:bCs/>
          <w:sz w:val="21"/>
          <w:szCs w:val="21"/>
        </w:rPr>
        <w:t>63、外币货币性项目</w:t>
      </w:r>
      <w:bookmarkEnd w:id="330"/>
    </w:p>
    <w:p>
      <w:pPr>
        <w:keepNext/>
        <w:keepLines/>
        <w:spacing w:before="300" w:after="300" w:line="280" w:lineRule="exact"/>
        <w:jc w:val="left"/>
        <w:outlineLvl w:val="3"/>
        <w:rPr>
          <w:rFonts w:ascii="宋体" w:hAnsi="宋体" w:eastAsia="宋体" w:cs="宋体"/>
          <w:b/>
          <w:bCs/>
          <w:sz w:val="21"/>
          <w:szCs w:val="21"/>
        </w:rPr>
      </w:pPr>
      <w:bookmarkStart w:id="331" w:name="_Toc989220"/>
      <w:r>
        <w:rPr>
          <w:rFonts w:ascii="宋体" w:hAnsi="宋体" w:eastAsia="宋体" w:cs="宋体"/>
          <w:b/>
          <w:bCs/>
          <w:sz w:val="21"/>
          <w:szCs w:val="21"/>
        </w:rPr>
        <w:t>（1） 外币货币性项目</w:t>
      </w:r>
      <w:bookmarkEnd w:id="3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期末外币余额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折算汇率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期末折算人民币余额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9,855.92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7.0827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69,806.52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32,246.93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0.9062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29,222.17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jc w:val="right"/>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长期借款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jc w:val="right"/>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205,381.99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7.0827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1,454,659.02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12,481.28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7.0827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88,401.16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332" w:name="_Toc989221"/>
      <w:r>
        <w:rPr>
          <w:rFonts w:ascii="宋体" w:hAnsi="宋体" w:eastAsia="宋体" w:cs="宋体"/>
          <w:b/>
          <w:bCs/>
          <w:sz w:val="21"/>
          <w:szCs w:val="21"/>
        </w:rPr>
        <w:t>（2） 境外经营实体说明，包括对于重要的境外经营实体，应披露其境外主要经营地、记账本位币及选择依据，记账本位币发生变化的还应披露原因。</w:t>
      </w:r>
      <w:bookmarkEnd w:id="33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33" w:name="_Toc989222"/>
      <w:r>
        <w:rPr>
          <w:rFonts w:ascii="宋体" w:hAnsi="宋体" w:eastAsia="宋体" w:cs="宋体"/>
          <w:b/>
          <w:bCs/>
          <w:sz w:val="21"/>
          <w:szCs w:val="21"/>
        </w:rPr>
        <w:t>64、租赁</w:t>
      </w:r>
      <w:bookmarkEnd w:id="333"/>
    </w:p>
    <w:p>
      <w:pPr>
        <w:keepNext/>
        <w:keepLines/>
        <w:spacing w:before="300" w:after="300" w:line="280" w:lineRule="exact"/>
        <w:jc w:val="left"/>
        <w:outlineLvl w:val="3"/>
        <w:rPr>
          <w:rFonts w:ascii="宋体" w:hAnsi="宋体" w:eastAsia="宋体" w:cs="宋体"/>
          <w:b/>
          <w:bCs/>
          <w:sz w:val="21"/>
          <w:szCs w:val="21"/>
        </w:rPr>
      </w:pPr>
      <w:bookmarkStart w:id="334" w:name="_Toc989223"/>
      <w:r>
        <w:rPr>
          <w:rFonts w:ascii="宋体" w:hAnsi="宋体" w:eastAsia="宋体" w:cs="宋体"/>
          <w:b/>
          <w:bCs/>
          <w:sz w:val="21"/>
          <w:szCs w:val="21"/>
        </w:rPr>
        <w:t>（1） 本公司作为承租方</w:t>
      </w:r>
      <w:bookmarkEnd w:id="334"/>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未纳入租赁负债计量的可变租赁付款额</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简化处理的短期租赁或低价值资产的租赁费用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335" w:name="_Toc989224"/>
      <w:r>
        <w:rPr>
          <w:rFonts w:ascii="宋体" w:hAnsi="宋体" w:eastAsia="宋体" w:cs="宋体"/>
          <w:b/>
          <w:bCs/>
          <w:sz w:val="21"/>
          <w:szCs w:val="21"/>
        </w:rPr>
        <w:t>（2） 本公司作为出租方</w:t>
      </w:r>
      <w:bookmarkEnd w:id="335"/>
    </w:p>
    <w:p>
      <w:pPr>
        <w:spacing w:before="100" w:after="100" w:line="240" w:lineRule="exact"/>
        <w:jc w:val="left"/>
        <w:rPr>
          <w:rFonts w:ascii="宋体" w:hAnsi="宋体" w:eastAsia="宋体" w:cs="宋体"/>
          <w:sz w:val="18"/>
          <w:szCs w:val="18"/>
        </w:rPr>
      </w:pPr>
      <w:r>
        <w:rPr>
          <w:rFonts w:ascii="宋体" w:hAnsi="宋体" w:eastAsia="宋体" w:cs="宋体"/>
          <w:sz w:val="18"/>
          <w:szCs w:val="18"/>
        </w:rPr>
        <w:t>作为出租人的经营租赁</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租赁收入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其中：未计入租赁收款额的可变租赁付款额相关的收入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250,517,470.48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作为出租人的融资租赁</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未来五年每年未折现租赁收款额</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36" w:name="_Toc989225"/>
      <w:r>
        <w:rPr>
          <w:rFonts w:ascii="宋体" w:hAnsi="宋体" w:eastAsia="宋体" w:cs="宋体"/>
          <w:b/>
          <w:bCs/>
          <w:sz w:val="24"/>
          <w:szCs w:val="24"/>
        </w:rPr>
        <w:t>八、合并范围的变更</w:t>
      </w:r>
      <w:bookmarkEnd w:id="336"/>
    </w:p>
    <w:p>
      <w:pPr>
        <w:keepNext/>
        <w:keepLines/>
        <w:spacing w:before="300" w:after="300" w:line="280" w:lineRule="exact"/>
        <w:jc w:val="left"/>
        <w:outlineLvl w:val="2"/>
        <w:rPr>
          <w:rFonts w:ascii="宋体" w:hAnsi="宋体" w:eastAsia="宋体" w:cs="宋体"/>
          <w:b/>
          <w:bCs/>
          <w:sz w:val="21"/>
          <w:szCs w:val="21"/>
        </w:rPr>
      </w:pPr>
      <w:bookmarkStart w:id="337" w:name="_Toc989226"/>
      <w:r>
        <w:rPr>
          <w:rFonts w:ascii="宋体" w:hAnsi="宋体" w:eastAsia="宋体" w:cs="宋体"/>
          <w:b/>
          <w:bCs/>
          <w:sz w:val="21"/>
          <w:szCs w:val="21"/>
        </w:rPr>
        <w:t>1、同一控制下企业合并</w:t>
      </w:r>
      <w:bookmarkEnd w:id="337"/>
    </w:p>
    <w:p>
      <w:pPr>
        <w:keepNext/>
        <w:keepLines/>
        <w:spacing w:before="300" w:after="300" w:line="280" w:lineRule="exact"/>
        <w:jc w:val="left"/>
        <w:outlineLvl w:val="2"/>
        <w:rPr>
          <w:rFonts w:ascii="宋体" w:hAnsi="宋体" w:eastAsia="宋体" w:cs="宋体"/>
          <w:b/>
          <w:bCs/>
          <w:sz w:val="21"/>
          <w:szCs w:val="21"/>
        </w:rPr>
      </w:pPr>
      <w:bookmarkStart w:id="338" w:name="_Toc989227"/>
      <w:r>
        <w:rPr>
          <w:rFonts w:ascii="宋体" w:hAnsi="宋体" w:eastAsia="宋体" w:cs="宋体"/>
          <w:b/>
          <w:bCs/>
          <w:sz w:val="21"/>
          <w:szCs w:val="21"/>
        </w:rPr>
        <w:t>2、其他原因的合并范围变动</w:t>
      </w:r>
      <w:bookmarkEnd w:id="338"/>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说明其他原因导致的合并范围变动（如，新设子公司、清算子公司等）及其相关情况：</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在子公司特发华日公司营业期限届满前后，本公司曾与日方企业多次沟通关于特发华日营业期限延长、股权买卖、解散清算等事宜，但均未达成一致。在特发华日营业期限已届满，且公司与日方股东无法在特发华日营业期限届满之日起十五日内成立清算组进行清算的情况下，本公司作为持有特发华日60%股权的股东，根据《中华人民共和国公司法》第一百八十条、第一百八十三条、《最高人民法院关于适用〈中华人民共和国公司法〉若干问题的规定（二）》第七条等规定，2022年10月申请由人民法院指定清算组对特发华日进行强制清算。</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2022年12月21日广东省深圳前海合作区人民法院出具2023粤0391清申9号民事裁定书，决定受理本公司对特发华日的清算申请。</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2023年3月21日本公司收到深圳前海合作区人民法院送达的《指定清算组决定书》（[2023]粤0391强清4号），法院指定北京市金杜（深圳）律师事务所为特发华日清算组。清算组向法院报告工作，接受法院、公司债权人和股东的监督，在清算期间按照法定程序行使</w:t>
      </w:r>
      <w:r>
        <w:rPr>
          <w:rFonts w:hint="eastAsia" w:ascii="宋体" w:hAnsi="宋体" w:eastAsia="宋体" w:cs="宋体"/>
          <w:kern w:val="0"/>
          <w:sz w:val="21"/>
          <w:szCs w:val="21"/>
        </w:rPr>
        <w:t>接管特发华日财产、印章和账簿以及决定特发华日内部管理事务、日常开支和其他必要开支等</w:t>
      </w:r>
      <w:r>
        <w:rPr>
          <w:rFonts w:hint="eastAsia" w:ascii="宋体" w:hAnsi="宋体" w:eastAsia="宋体" w:cs="宋体"/>
          <w:sz w:val="21"/>
          <w:szCs w:val="21"/>
        </w:rPr>
        <w:t>各项职权。</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公司法相关规定，法院指定的清算组在清算期间内负责对公司财产进行保管、清理及处置，清偿债务以及处理未了结业务，直至公司最终注销。在此期间，特力集团作为股东无法再对特发华日的经营决策进行控制，且不能单方面申请法院撤销对特发华日的清算。由此，在法院指定清算组后，特力集团丧失对特发华日的控制权，且无重大影响，不应再将特发华日纳入合并范围。</w:t>
      </w:r>
    </w:p>
    <w:p>
      <w:pPr>
        <w:keepNext/>
        <w:keepLines/>
        <w:spacing w:before="300" w:after="300" w:line="320" w:lineRule="exact"/>
        <w:jc w:val="left"/>
        <w:outlineLvl w:val="1"/>
        <w:rPr>
          <w:rFonts w:ascii="宋体" w:hAnsi="宋体" w:eastAsia="宋体" w:cs="宋体"/>
          <w:b/>
          <w:bCs/>
          <w:sz w:val="24"/>
          <w:szCs w:val="24"/>
        </w:rPr>
      </w:pPr>
      <w:bookmarkStart w:id="339" w:name="_Toc989228"/>
      <w:r>
        <w:rPr>
          <w:rFonts w:ascii="宋体" w:hAnsi="宋体" w:eastAsia="宋体" w:cs="宋体"/>
          <w:b/>
          <w:bCs/>
          <w:sz w:val="24"/>
          <w:szCs w:val="24"/>
        </w:rPr>
        <w:t>九、在其他主体中的权益</w:t>
      </w:r>
      <w:bookmarkEnd w:id="339"/>
    </w:p>
    <w:p>
      <w:pPr>
        <w:keepNext/>
        <w:keepLines/>
        <w:spacing w:before="300" w:after="300" w:line="280" w:lineRule="exact"/>
        <w:jc w:val="left"/>
        <w:outlineLvl w:val="2"/>
        <w:rPr>
          <w:rFonts w:ascii="宋体" w:hAnsi="宋体" w:eastAsia="宋体" w:cs="宋体"/>
          <w:b/>
          <w:bCs/>
          <w:sz w:val="21"/>
          <w:szCs w:val="21"/>
        </w:rPr>
      </w:pPr>
      <w:bookmarkStart w:id="340" w:name="_Toc989229"/>
      <w:r>
        <w:rPr>
          <w:rFonts w:ascii="宋体" w:hAnsi="宋体" w:eastAsia="宋体" w:cs="宋体"/>
          <w:b/>
          <w:bCs/>
          <w:sz w:val="21"/>
          <w:szCs w:val="21"/>
        </w:rPr>
        <w:t>1、在子公司中的权益</w:t>
      </w:r>
      <w:bookmarkEnd w:id="340"/>
    </w:p>
    <w:p>
      <w:pPr>
        <w:keepNext/>
        <w:keepLines/>
        <w:spacing w:before="300" w:after="300" w:line="280" w:lineRule="exact"/>
        <w:jc w:val="left"/>
        <w:outlineLvl w:val="3"/>
        <w:rPr>
          <w:rFonts w:ascii="宋体" w:hAnsi="宋体" w:eastAsia="宋体" w:cs="宋体"/>
          <w:b/>
          <w:bCs/>
          <w:sz w:val="18"/>
          <w:szCs w:val="18"/>
        </w:rPr>
      </w:pPr>
      <w:bookmarkStart w:id="341" w:name="_Toc989230"/>
      <w:r>
        <w:rPr>
          <w:rFonts w:ascii="宋体" w:hAnsi="宋体" w:eastAsia="宋体" w:cs="宋体"/>
          <w:b/>
          <w:bCs/>
          <w:sz w:val="18"/>
          <w:szCs w:val="18"/>
        </w:rPr>
        <w:t>（1） 企业集团的构成</w:t>
      </w:r>
      <w:bookmarkEnd w:id="3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24"/>
        <w:gridCol w:w="1569"/>
        <w:gridCol w:w="788"/>
        <w:gridCol w:w="694"/>
        <w:gridCol w:w="703"/>
        <w:gridCol w:w="866"/>
        <w:gridCol w:w="857"/>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56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78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69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172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73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取得方式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69" w:type="dxa"/>
            <w:vMerge w:val="continue"/>
            <w:tcBorders>
              <w:top w:val="single" w:color="auto" w:sz="2" w:space="0"/>
              <w:left w:val="single" w:color="auto" w:sz="2" w:space="0"/>
              <w:bottom w:val="single" w:color="auto" w:sz="2" w:space="0"/>
              <w:right w:val="single" w:color="auto" w:sz="2" w:space="0"/>
            </w:tcBorders>
            <w:vAlign w:val="center"/>
          </w:tcPr>
          <w:p/>
        </w:tc>
        <w:tc>
          <w:tcPr>
            <w:tcW w:w="78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6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85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73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深圳市特力新永通汽车发展有限公司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95.00%</w:t>
            </w: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深圳市宝安石泉实业有限公司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深圳市特发特力房地产有限公司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31,150,000.00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深圳市特力创盈科技有限公司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深圳市新永通机动车检测设备有限公司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9,607,800.00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深圳市汽车工业贸易有限公司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58,960,000.00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深圳市汽车工业供销公司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11,110,000.00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深圳市中天实业有限公司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366,221,900.00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深圳市特力宝库供应链科技有限公司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深圳珠宝产业服务有限公司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上海泛粤钻石有限公司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上海</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2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15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200,000,000.00</w:t>
            </w:r>
          </w:p>
        </w:tc>
        <w:tc>
          <w:tcPr>
            <w:tcW w:w="7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w:t>
            </w:r>
          </w:p>
        </w:tc>
        <w:tc>
          <w:tcPr>
            <w:tcW w:w="8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w:t>
            </w:r>
          </w:p>
        </w:tc>
        <w:tc>
          <w:tcPr>
            <w:tcW w:w="73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在子公司的持股比例不同于表决权比例的说明：</w:t>
      </w:r>
    </w:p>
    <w:p>
      <w:pPr>
        <w:pStyle w:val="8"/>
        <w:keepNext w:val="0"/>
        <w:keepLines w:val="0"/>
        <w:widowControl/>
        <w:suppressLineNumbers w:val="0"/>
        <w:spacing w:before="120" w:beforeAutospacing="0" w:after="216" w:afterAutospacing="0" w:line="240" w:lineRule="atLeast"/>
        <w:ind w:left="0" w:right="0"/>
        <w:jc w:val="both"/>
        <w:rPr>
          <w:rFonts w:hint="eastAsia" w:ascii="宋体" w:hAnsi="宋体" w:eastAsia="宋体" w:cs="宋体"/>
          <w:kern w:val="0"/>
          <w:sz w:val="18"/>
          <w:szCs w:val="18"/>
        </w:rPr>
      </w:pPr>
      <w:r>
        <w:rPr>
          <w:rFonts w:hint="eastAsia" w:ascii="宋体" w:hAnsi="宋体" w:eastAsia="宋体" w:cs="宋体"/>
          <w:kern w:val="0"/>
          <w:sz w:val="18"/>
          <w:szCs w:val="18"/>
        </w:rPr>
        <w:t>在国润黄金（深圳）有限公司的持股比例不同于表决权比例、持有半数或以下表决权但仍控制被投资单位的依据： </w:t>
      </w:r>
    </w:p>
    <w:p>
      <w:pPr>
        <w:pStyle w:val="8"/>
        <w:keepNext w:val="0"/>
        <w:keepLines w:val="0"/>
        <w:widowControl/>
        <w:suppressLineNumbers w:val="0"/>
        <w:spacing w:before="120" w:beforeAutospacing="0" w:after="216" w:afterAutospacing="0" w:line="240" w:lineRule="atLeast"/>
        <w:ind w:left="0" w:right="0"/>
        <w:jc w:val="both"/>
        <w:rPr>
          <w:rFonts w:hint="eastAsia" w:ascii="宋体" w:hAnsi="宋体" w:eastAsia="宋体" w:cs="宋体"/>
          <w:kern w:val="0"/>
          <w:sz w:val="18"/>
          <w:szCs w:val="18"/>
        </w:rPr>
      </w:pPr>
      <w:r>
        <w:rPr>
          <w:rFonts w:hint="eastAsia" w:ascii="宋体" w:hAnsi="宋体" w:eastAsia="宋体" w:cs="宋体"/>
          <w:kern w:val="0"/>
          <w:sz w:val="18"/>
          <w:szCs w:val="18"/>
        </w:rPr>
        <w:t>2022 年6 月，本公司与子公司深圳珠宝产业服务有限公司、深圳市高新投集团有限公司、周大福珠宝文化产业园（武汉）有限公司、周大生珠宝股份有限公司、北京菜市口百货股份有限公司、深圳市众恒隆实业有限公司合作，共同投资设立国润黄金（深圳）有限公司，其中本公司出资7,200万元，持股比例为36%，本公司子公司深圳珠宝产业服务有限公司出资1,000万元，持股比例为5%，深圳市高新投集团持股比例为10%，其他股东持股比例共计49%。本公司与深圳市高新投集团有限公司签订了一致行动协议，约定深圳市高新投集团有限公司在国润黄金（深圳）有限公司股东会、董事会进行表决时与本公司保持一致意见，因此，本公司及本公司子公司实际享有国润黄金（深圳）有限公司 51%的表决权，能够控制国润黄金（深圳）有限公司。</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持有半数或以下表决权但仍控制被投资单位、以及持有半数以上表决权但不控制被投资单位的依据：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对于纳入合并范围的重要的结构化主体，控制的依据：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确定公司是代理人还是委托人的依据：</w:t>
      </w:r>
    </w:p>
    <w:p>
      <w:pPr>
        <w:keepNext/>
        <w:keepLines/>
        <w:spacing w:before="300" w:after="300" w:line="280" w:lineRule="exact"/>
        <w:jc w:val="left"/>
        <w:outlineLvl w:val="3"/>
        <w:rPr>
          <w:rFonts w:ascii="宋体" w:hAnsi="宋体" w:eastAsia="宋体" w:cs="宋体"/>
          <w:b/>
          <w:bCs/>
          <w:sz w:val="18"/>
          <w:szCs w:val="18"/>
        </w:rPr>
      </w:pPr>
      <w:bookmarkStart w:id="342" w:name="_Toc989231"/>
      <w:r>
        <w:rPr>
          <w:rFonts w:ascii="宋体" w:hAnsi="宋体" w:eastAsia="宋体" w:cs="宋体"/>
          <w:b/>
          <w:bCs/>
          <w:sz w:val="18"/>
          <w:szCs w:val="18"/>
        </w:rPr>
        <w:t>（2） 重要的非全资子公司</w:t>
      </w:r>
      <w:bookmarkEnd w:id="34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398"/>
        <w:gridCol w:w="1295"/>
        <w:gridCol w:w="1551"/>
        <w:gridCol w:w="1834"/>
        <w:gridCol w:w="15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2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少数股东持股比例</w:t>
            </w:r>
          </w:p>
        </w:tc>
        <w:tc>
          <w:tcPr>
            <w:tcW w:w="1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本期归属于少数股东的损益</w:t>
            </w:r>
          </w:p>
        </w:tc>
        <w:tc>
          <w:tcPr>
            <w:tcW w:w="18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本期向少数股东宣告分派的股利</w:t>
            </w:r>
          </w:p>
        </w:tc>
        <w:tc>
          <w:tcPr>
            <w:tcW w:w="15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期末少数股东权益余额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12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-8,910,086.07</w:t>
            </w:r>
          </w:p>
        </w:tc>
        <w:tc>
          <w:tcPr>
            <w:tcW w:w="18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-4,529,354.51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9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12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60.75%</w:t>
            </w:r>
          </w:p>
        </w:tc>
        <w:tc>
          <w:tcPr>
            <w:tcW w:w="15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-928,634.55</w:t>
            </w:r>
          </w:p>
        </w:tc>
        <w:tc>
          <w:tcPr>
            <w:tcW w:w="18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116,731,860.02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子公司少数股东的持股比例不同于表决权比例的说明：</w:t>
      </w:r>
    </w:p>
    <w:p>
      <w:pPr>
        <w:keepNext/>
        <w:keepLines/>
        <w:spacing w:before="300" w:after="300" w:line="280" w:lineRule="exact"/>
        <w:jc w:val="left"/>
        <w:outlineLvl w:val="3"/>
        <w:rPr>
          <w:rFonts w:ascii="宋体" w:hAnsi="宋体" w:eastAsia="宋体" w:cs="宋体"/>
          <w:b/>
          <w:bCs/>
          <w:sz w:val="18"/>
          <w:szCs w:val="18"/>
        </w:rPr>
      </w:pPr>
      <w:bookmarkStart w:id="343" w:name="_Toc989232"/>
      <w:r>
        <w:rPr>
          <w:rFonts w:ascii="宋体" w:hAnsi="宋体" w:eastAsia="宋体" w:cs="宋体"/>
          <w:b/>
          <w:bCs/>
          <w:sz w:val="18"/>
          <w:szCs w:val="18"/>
        </w:rPr>
        <w:t>（3） 重要非全资子公司的主要财务信息</w:t>
      </w:r>
      <w:bookmarkEnd w:id="3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5,008,846.45</w:t>
            </w:r>
          </w:p>
        </w:tc>
        <w:tc>
          <w:tcPr>
            <w:tcW w:w="741" w:type="dxa"/>
            <w:tcBorders>
              <w:top w:val="single" w:color="auto" w:sz="2" w:space="0"/>
              <w:left w:val="single" w:color="auto" w:sz="2" w:space="0"/>
              <w:bottom w:val="single" w:color="auto" w:sz="2" w:space="0"/>
              <w:right w:val="single" w:color="auto" w:sz="2" w:space="0"/>
            </w:tcBorders>
            <w:vAlign w:val="center"/>
          </w:tcPr>
          <w:p>
            <w:pPr>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5,008,846.45</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16,332,232.72</w:t>
            </w:r>
          </w:p>
        </w:tc>
        <w:tc>
          <w:tcPr>
            <w:tcW w:w="741" w:type="dxa"/>
            <w:tcBorders>
              <w:top w:val="single" w:color="auto" w:sz="2" w:space="0"/>
              <w:left w:val="single" w:color="auto" w:sz="2" w:space="0"/>
              <w:bottom w:val="single" w:color="auto" w:sz="2" w:space="0"/>
              <w:right w:val="single" w:color="auto" w:sz="2" w:space="0"/>
            </w:tcBorders>
            <w:vAlign w:val="center"/>
          </w:tcPr>
          <w:p>
            <w:pPr>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16,332,232.72</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64,370,969.91</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2,808,698.79</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67,179,668.70</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56,227,839.79</w:t>
            </w:r>
          </w:p>
        </w:tc>
        <w:tc>
          <w:tcPr>
            <w:tcW w:w="741" w:type="dxa"/>
            <w:tcBorders>
              <w:top w:val="single" w:color="auto" w:sz="2" w:space="0"/>
              <w:left w:val="single" w:color="auto" w:sz="2" w:space="0"/>
              <w:bottom w:val="single" w:color="auto" w:sz="2" w:space="0"/>
              <w:right w:val="single" w:color="auto" w:sz="2" w:space="0"/>
            </w:tcBorders>
            <w:vAlign w:val="center"/>
          </w:tcPr>
          <w:p>
            <w:pPr>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56,227,839.79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401,436,296.18</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7,409,377.22</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408,845,673.40</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205,997,337.37</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4,935,809.24</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210,933,146.61</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308,524,705.19</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3,459,491.14</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311,984,196.33</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110,466,340.68</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2,076,712.32</w:t>
            </w:r>
          </w:p>
        </w:tc>
        <w:tc>
          <w:tcPr>
            <w:tcW w:w="74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112,543,053.00</w:t>
            </w:r>
          </w:p>
        </w:tc>
      </w:tr>
    </w:tbl>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53,354,433.99</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-22,275,215.18</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-22,275,215.18</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-15,594,719.04</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239,554,992.87</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-232,597.36</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-232,597.36</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6,742,295.97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1,492,021,725.24</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-1,528,616.54</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-1,528,616.54</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ascii="宋体" w:hAnsi="宋体" w:eastAsia="宋体" w:cs="宋体"/>
                <w:sz w:val="18"/>
                <w:szCs w:val="18"/>
              </w:rPr>
              <w:t>-182,332,552.52</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328,034,404.58</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-558,856.67</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-558,856.67</w:t>
            </w:r>
          </w:p>
        </w:tc>
        <w:tc>
          <w:tcPr>
            <w:tcW w:w="1071"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-107,590,934.59</w:t>
            </w:r>
          </w:p>
        </w:tc>
      </w:tr>
    </w:tbl>
    <w:p>
      <w:pPr>
        <w:keepNext/>
        <w:keepLines/>
        <w:spacing w:before="300" w:after="300" w:line="280" w:lineRule="exact"/>
        <w:jc w:val="left"/>
        <w:outlineLvl w:val="2"/>
        <w:rPr>
          <w:rFonts w:ascii="宋体" w:hAnsi="宋体" w:eastAsia="宋体" w:cs="宋体"/>
          <w:b/>
          <w:bCs/>
          <w:sz w:val="21"/>
          <w:szCs w:val="21"/>
        </w:rPr>
      </w:pPr>
      <w:bookmarkStart w:id="344" w:name="_Toc989233"/>
      <w:r>
        <w:rPr>
          <w:rFonts w:ascii="宋体" w:hAnsi="宋体" w:eastAsia="宋体" w:cs="宋体"/>
          <w:b/>
          <w:bCs/>
          <w:sz w:val="21"/>
          <w:szCs w:val="21"/>
        </w:rPr>
        <w:t>2、在合营安排或联营企业中的权益</w:t>
      </w:r>
      <w:bookmarkEnd w:id="344"/>
    </w:p>
    <w:p>
      <w:pPr>
        <w:keepNext/>
        <w:keepLines/>
        <w:spacing w:before="300" w:after="300" w:line="280" w:lineRule="exact"/>
        <w:jc w:val="left"/>
        <w:outlineLvl w:val="3"/>
        <w:rPr>
          <w:rFonts w:ascii="宋体" w:hAnsi="宋体" w:eastAsia="宋体" w:cs="宋体"/>
          <w:b/>
          <w:bCs/>
          <w:sz w:val="21"/>
          <w:szCs w:val="21"/>
        </w:rPr>
      </w:pPr>
      <w:bookmarkStart w:id="345" w:name="_Toc989234"/>
      <w:r>
        <w:rPr>
          <w:rFonts w:ascii="宋体" w:hAnsi="宋体" w:eastAsia="宋体" w:cs="宋体"/>
          <w:b/>
          <w:bCs/>
          <w:sz w:val="21"/>
          <w:szCs w:val="21"/>
        </w:rPr>
        <w:t>（1） 重要的合营企业或联营企业</w:t>
      </w:r>
      <w:bookmarkEnd w:id="345"/>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35"/>
        <w:gridCol w:w="935"/>
        <w:gridCol w:w="1200"/>
        <w:gridCol w:w="1311"/>
        <w:gridCol w:w="934"/>
        <w:gridCol w:w="94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9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31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188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对合营企业或联营企业投资的会计处理方法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1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94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一、合营企业</w:t>
            </w:r>
          </w:p>
        </w:tc>
        <w:tc>
          <w:tcPr>
            <w:tcW w:w="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9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4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深圳特力吉盟投资有限公司</w:t>
            </w:r>
          </w:p>
        </w:tc>
        <w:tc>
          <w:tcPr>
            <w:tcW w:w="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13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租赁服务</w:t>
            </w:r>
          </w:p>
        </w:tc>
        <w:tc>
          <w:tcPr>
            <w:tcW w:w="9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c>
          <w:tcPr>
            <w:tcW w:w="94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权益法核算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二、联营企业</w:t>
            </w:r>
          </w:p>
        </w:tc>
        <w:tc>
          <w:tcPr>
            <w:tcW w:w="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9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4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9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13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汽车销售</w:t>
            </w:r>
          </w:p>
        </w:tc>
        <w:tc>
          <w:tcPr>
            <w:tcW w:w="9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w:t>
            </w:r>
          </w:p>
        </w:tc>
        <w:tc>
          <w:tcPr>
            <w:tcW w:w="94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权益法核算</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在合营企业或联营企业的持股比例不同于表决权比例的说明：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持有20%以下表决权但具有重大影响，或者持有20%或以上表决权但不具有重大影响的依据：</w:t>
      </w:r>
    </w:p>
    <w:p>
      <w:pPr>
        <w:keepNext/>
        <w:keepLines/>
        <w:spacing w:before="300" w:after="300" w:line="280" w:lineRule="exact"/>
        <w:jc w:val="left"/>
        <w:outlineLvl w:val="3"/>
        <w:rPr>
          <w:rFonts w:ascii="宋体" w:hAnsi="宋体" w:eastAsia="宋体" w:cs="宋体"/>
          <w:b/>
          <w:bCs/>
          <w:sz w:val="21"/>
          <w:szCs w:val="21"/>
        </w:rPr>
      </w:pPr>
      <w:bookmarkStart w:id="346" w:name="_Toc989235"/>
      <w:r>
        <w:rPr>
          <w:rFonts w:ascii="宋体" w:hAnsi="宋体" w:eastAsia="宋体" w:cs="宋体"/>
          <w:b/>
          <w:bCs/>
          <w:sz w:val="21"/>
          <w:szCs w:val="21"/>
        </w:rPr>
        <w:t>（2） 重要合营企业的主要财务信息</w:t>
      </w:r>
      <w:bookmarkEnd w:id="34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深圳特力吉盟投资有限公司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深圳特力吉盟投资有限公司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60,614,147.72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44,368,420.83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其中：现金和现金等价物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59,631,516.56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42,326,853.66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326,363,493.98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346,703,460.52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386,977,641.70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391,071,881.35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47,521,951.61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37,674,441.11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240,954,000.00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288,475,951.61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296,784,441.11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98,501,690.09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94,287,440.24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49,250,845.05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47,143,720.12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对合营企业权益投资的账面价值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49,250,845.05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47,143,720.13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存在公开报价的合营企业权益投资的公允价值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114,967,524.80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102,987,695.69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10,656,384.56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14,200,209.90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11,463,999.39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10,548,286.43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34,214,249.85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29,305,958.68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34,214,249.85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29,305,958.68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本年度收到的来自合营企业的股利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r>
    </w:tbl>
    <w:p>
      <w:pPr>
        <w:keepNext/>
        <w:keepLines/>
        <w:spacing w:before="300" w:after="300" w:line="280" w:lineRule="exact"/>
        <w:jc w:val="left"/>
        <w:outlineLvl w:val="3"/>
        <w:rPr>
          <w:rFonts w:ascii="宋体" w:hAnsi="宋体" w:eastAsia="宋体" w:cs="宋体"/>
          <w:b/>
          <w:bCs/>
          <w:sz w:val="21"/>
          <w:szCs w:val="21"/>
        </w:rPr>
      </w:pPr>
      <w:bookmarkStart w:id="347" w:name="_Toc989236"/>
      <w:r>
        <w:rPr>
          <w:rFonts w:ascii="宋体" w:hAnsi="宋体" w:eastAsia="宋体" w:cs="宋体"/>
          <w:b/>
          <w:bCs/>
          <w:sz w:val="21"/>
          <w:szCs w:val="21"/>
        </w:rPr>
        <w:t>（3） 重要联营企业的主要财务信息</w:t>
      </w:r>
      <w:bookmarkEnd w:id="34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深圳市仁孚特力汽车服务有限公司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深圳市仁孚特力汽车服务有限公司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167,519,575.18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206,438,043.83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32,145,888.83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31,677,397.21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199,665,464.01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238,115,441.04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158,552,555.81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167,288,864.40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1,231,962.74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14,598,723.35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159,784,518.55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181,887,587.75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39,880,945.46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56,227,853.29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13,958,330.91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19,679,748.68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对联营企业权益投资的账面价值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13,958,330.91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19,679,748.68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存在公开报价的联营企业权益投资的公允价值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1,023,951,420.71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1,088,150,561.97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10,469,419.27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-18,782,486.31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10,469,419.27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-18,782,486.31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本年度收到的来自联营企业的股利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9,385,714.52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3,183,672.81</w:t>
            </w:r>
          </w:p>
        </w:tc>
      </w:tr>
    </w:tbl>
    <w:p>
      <w:pPr>
        <w:keepNext/>
        <w:keepLines/>
        <w:spacing w:before="300" w:after="300" w:line="280" w:lineRule="exact"/>
        <w:jc w:val="left"/>
        <w:outlineLvl w:val="3"/>
        <w:rPr>
          <w:rFonts w:ascii="宋体" w:hAnsi="宋体" w:eastAsia="宋体" w:cs="宋体"/>
          <w:b/>
          <w:bCs/>
          <w:sz w:val="21"/>
          <w:szCs w:val="21"/>
        </w:rPr>
      </w:pPr>
      <w:bookmarkStart w:id="348" w:name="_Toc989237"/>
      <w:r>
        <w:rPr>
          <w:rFonts w:ascii="宋体" w:hAnsi="宋体" w:eastAsia="宋体" w:cs="宋体"/>
          <w:b/>
          <w:bCs/>
          <w:sz w:val="21"/>
          <w:szCs w:val="21"/>
        </w:rPr>
        <w:t>（4） 不重要的合营企业和联营企业的汇总财务信息</w:t>
      </w:r>
      <w:bookmarkEnd w:id="34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投资账面价值合计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13,302,311.60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14,200,897.13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-898,585.53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748,674.78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-898,585.53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748,674.78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349" w:name="_Toc989238"/>
      <w:r>
        <w:rPr>
          <w:rFonts w:ascii="宋体" w:hAnsi="宋体" w:eastAsia="宋体" w:cs="宋体"/>
          <w:b/>
          <w:bCs/>
          <w:sz w:val="21"/>
          <w:szCs w:val="21"/>
        </w:rPr>
        <w:t>（5） 合营企业或联营企业发生的超额亏损</w:t>
      </w:r>
      <w:bookmarkEnd w:id="34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累积未确认前期累计的损失</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本期未确认的损失（或本期分享的净利润）</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本期末累积未确认的损失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98,865.26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98,865.26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1,176,212.73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1,176,212.73</w:t>
            </w:r>
          </w:p>
        </w:tc>
      </w:tr>
    </w:tbl>
    <w:p>
      <w:pPr>
        <w:keepNext/>
        <w:keepLines/>
        <w:spacing w:before="300" w:after="300" w:line="320" w:lineRule="exact"/>
        <w:jc w:val="left"/>
        <w:outlineLvl w:val="1"/>
        <w:rPr>
          <w:rFonts w:ascii="宋体" w:hAnsi="宋体" w:eastAsia="宋体" w:cs="宋体"/>
          <w:b/>
          <w:bCs/>
          <w:sz w:val="24"/>
          <w:szCs w:val="24"/>
        </w:rPr>
      </w:pPr>
      <w:bookmarkStart w:id="350" w:name="_Toc989239"/>
      <w:r>
        <w:rPr>
          <w:rFonts w:ascii="宋体" w:hAnsi="宋体" w:eastAsia="宋体" w:cs="宋体"/>
          <w:b/>
          <w:bCs/>
          <w:sz w:val="24"/>
          <w:szCs w:val="24"/>
        </w:rPr>
        <w:t>十、政府补助</w:t>
      </w:r>
      <w:bookmarkEnd w:id="350"/>
    </w:p>
    <w:p>
      <w:pPr>
        <w:keepNext/>
        <w:keepLines/>
        <w:spacing w:before="300" w:after="300" w:line="280" w:lineRule="exact"/>
        <w:jc w:val="left"/>
        <w:outlineLvl w:val="2"/>
        <w:rPr>
          <w:rFonts w:ascii="宋体" w:hAnsi="宋体" w:eastAsia="宋体" w:cs="宋体"/>
          <w:b/>
          <w:bCs/>
          <w:sz w:val="21"/>
          <w:szCs w:val="21"/>
        </w:rPr>
      </w:pPr>
      <w:bookmarkStart w:id="351" w:name="_Toc989240"/>
      <w:r>
        <w:rPr>
          <w:rFonts w:ascii="宋体" w:hAnsi="宋体" w:eastAsia="宋体" w:cs="宋体"/>
          <w:b/>
          <w:bCs/>
          <w:sz w:val="21"/>
          <w:szCs w:val="21"/>
        </w:rPr>
        <w:t>1、报告期末按应收金额确认的政府补助</w:t>
      </w:r>
      <w:bookmarkEnd w:id="35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0" w:after="0" w:line="240" w:lineRule="exact"/>
        <w:jc w:val="left"/>
        <w:rPr>
          <w:rFonts w:ascii="宋体" w:hAnsi="宋体" w:eastAsia="宋体" w:cs="宋体"/>
          <w:sz w:val="18"/>
          <w:szCs w:val="18"/>
        </w:rPr>
      </w:pPr>
      <w:r>
        <w:rPr>
          <w:rFonts w:ascii="宋体" w:hAnsi="宋体" w:eastAsia="宋体" w:cs="宋体"/>
          <w:sz w:val="18"/>
          <w:szCs w:val="18"/>
        </w:rPr>
        <w:t>未能在预计时点收到预计金额的政府补助的原因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52" w:name="_Toc989241"/>
      <w:r>
        <w:rPr>
          <w:rFonts w:ascii="宋体" w:hAnsi="宋体" w:eastAsia="宋体" w:cs="宋体"/>
          <w:b/>
          <w:bCs/>
          <w:sz w:val="21"/>
          <w:szCs w:val="21"/>
        </w:rPr>
        <w:t>2、涉及政府补助的负债项目</w:t>
      </w:r>
      <w:bookmarkEnd w:id="35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533"/>
        <w:gridCol w:w="1200"/>
        <w:gridCol w:w="882"/>
        <w:gridCol w:w="1475"/>
        <w:gridCol w:w="763"/>
        <w:gridCol w:w="1377"/>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会计科目</w:t>
            </w:r>
          </w:p>
        </w:tc>
        <w:tc>
          <w:tcPr>
            <w:tcW w:w="15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本期新增补助金额</w:t>
            </w:r>
          </w:p>
        </w:tc>
        <w:tc>
          <w:tcPr>
            <w:tcW w:w="8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本期计入营业外收入金额</w:t>
            </w:r>
          </w:p>
        </w:tc>
        <w:tc>
          <w:tcPr>
            <w:tcW w:w="14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本期转入其他收益金额</w:t>
            </w:r>
          </w:p>
        </w:tc>
        <w:tc>
          <w:tcPr>
            <w:tcW w:w="7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本期其他变动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与资产/收益相关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递延收益</w:t>
            </w:r>
          </w:p>
        </w:tc>
        <w:tc>
          <w:tcPr>
            <w:tcW w:w="153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10,579,545.71</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785,610.00</w:t>
            </w:r>
          </w:p>
        </w:tc>
        <w:tc>
          <w:tcPr>
            <w:tcW w:w="8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1,747,472.18</w:t>
            </w:r>
          </w:p>
        </w:tc>
        <w:tc>
          <w:tcPr>
            <w:tcW w:w="7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9,617,683.53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w:t>
            </w:r>
          </w:p>
        </w:tc>
      </w:tr>
    </w:tbl>
    <w:p>
      <w:pPr>
        <w:keepNext/>
        <w:keepLines/>
        <w:spacing w:before="300" w:after="300" w:line="280" w:lineRule="exact"/>
        <w:jc w:val="left"/>
        <w:outlineLvl w:val="2"/>
        <w:rPr>
          <w:rFonts w:ascii="宋体" w:hAnsi="宋体" w:eastAsia="宋体" w:cs="宋体"/>
          <w:b/>
          <w:bCs/>
          <w:sz w:val="21"/>
          <w:szCs w:val="21"/>
        </w:rPr>
      </w:pPr>
      <w:bookmarkStart w:id="353" w:name="_Toc989242"/>
      <w:r>
        <w:rPr>
          <w:rFonts w:ascii="宋体" w:hAnsi="宋体" w:eastAsia="宋体" w:cs="宋体"/>
          <w:b/>
          <w:bCs/>
          <w:sz w:val="21"/>
          <w:szCs w:val="21"/>
        </w:rPr>
        <w:t>3、计入当期损益的政府补助</w:t>
      </w:r>
      <w:bookmarkEnd w:id="35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会计科目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default" w:ascii="宋体" w:hAnsi="宋体" w:eastAsia="宋体" w:cs="宋体"/>
                <w:b w:val="0"/>
                <w:bCs w:val="0"/>
                <w:kern w:val="0"/>
                <w:sz w:val="18"/>
                <w:szCs w:val="18"/>
                <w:lang w:bidi="ar"/>
              </w:rPr>
              <w:t>6,733,419.28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default" w:ascii="宋体" w:hAnsi="宋体" w:eastAsia="宋体" w:cs="宋体"/>
                <w:b w:val="0"/>
                <w:bCs w:val="0"/>
                <w:kern w:val="0"/>
                <w:sz w:val="18"/>
                <w:szCs w:val="18"/>
                <w:lang w:bidi="ar"/>
              </w:rPr>
              <w:t>5,086,168.38</w:t>
            </w:r>
          </w:p>
        </w:tc>
      </w:tr>
    </w:tbl>
    <w:p>
      <w:pPr>
        <w:keepNext/>
        <w:keepLines/>
        <w:spacing w:before="300" w:after="300" w:line="320" w:lineRule="exact"/>
        <w:jc w:val="left"/>
        <w:outlineLvl w:val="1"/>
        <w:rPr>
          <w:rFonts w:ascii="宋体" w:hAnsi="宋体" w:eastAsia="宋体" w:cs="宋体"/>
          <w:b/>
          <w:bCs/>
          <w:sz w:val="24"/>
          <w:szCs w:val="24"/>
        </w:rPr>
      </w:pPr>
      <w:bookmarkStart w:id="354" w:name="_Toc989243"/>
      <w:r>
        <w:rPr>
          <w:rFonts w:ascii="宋体" w:hAnsi="宋体" w:eastAsia="宋体" w:cs="宋体"/>
          <w:b/>
          <w:bCs/>
          <w:sz w:val="24"/>
          <w:szCs w:val="24"/>
        </w:rPr>
        <w:t>十一、与金融工具相关的风险</w:t>
      </w:r>
      <w:bookmarkEnd w:id="354"/>
    </w:p>
    <w:p>
      <w:pPr>
        <w:keepNext/>
        <w:keepLines/>
        <w:spacing w:before="300" w:after="300" w:line="280" w:lineRule="exact"/>
        <w:jc w:val="left"/>
        <w:outlineLvl w:val="2"/>
        <w:rPr>
          <w:rFonts w:ascii="宋体" w:hAnsi="宋体" w:eastAsia="宋体" w:cs="宋体"/>
          <w:b/>
          <w:bCs/>
          <w:sz w:val="21"/>
          <w:szCs w:val="21"/>
        </w:rPr>
      </w:pPr>
      <w:bookmarkStart w:id="355" w:name="_Toc989244"/>
      <w:r>
        <w:rPr>
          <w:rFonts w:ascii="宋体" w:hAnsi="宋体" w:eastAsia="宋体" w:cs="宋体"/>
          <w:b/>
          <w:bCs/>
          <w:sz w:val="21"/>
          <w:szCs w:val="21"/>
        </w:rPr>
        <w:t>1、金融工具产生的各类风险</w:t>
      </w:r>
      <w:bookmarkEnd w:id="355"/>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本公司的主要金融工具包</w:t>
      </w:r>
      <w:r>
        <w:rPr>
          <w:rFonts w:hint="eastAsia" w:ascii="宋体" w:hAnsi="宋体" w:eastAsia="宋体" w:cs="宋体"/>
          <w:color w:val="000000"/>
          <w:sz w:val="21"/>
          <w:szCs w:val="21"/>
        </w:rPr>
        <w:t>括货币资金、应收票据、应收账款、其他应收款、一年内到期的非流动资产、其他流动资产、交易性金融资产、其他债权投资、其他权益工具投资、长期应收款、应付账款、其他应付款、短期借款、交易性金融负债、一年内到期的非流动负债、租赁负债及长期应付款。各项</w:t>
      </w:r>
      <w:r>
        <w:rPr>
          <w:rFonts w:hint="eastAsia" w:ascii="宋体" w:hAnsi="宋体" w:eastAsia="宋体" w:cs="宋体"/>
          <w:sz w:val="21"/>
          <w:szCs w:val="21"/>
        </w:rPr>
        <w:t>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pPr>
        <w:pStyle w:val="5"/>
        <w:rPr>
          <w:rFonts w:hint="eastAsia" w:ascii="宋体" w:hAnsi="宋体" w:eastAsia="宋体" w:cs="宋体"/>
          <w:sz w:val="21"/>
          <w:szCs w:val="21"/>
        </w:rPr>
      </w:pPr>
      <w:r>
        <w:rPr>
          <w:rFonts w:hint="eastAsia" w:ascii="宋体" w:hAnsi="宋体" w:eastAsia="宋体" w:cs="宋体"/>
          <w:sz w:val="21"/>
          <w:szCs w:val="21"/>
        </w:rPr>
        <w:t>风险管理目标和政策</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本公司的金融工具导致的主要</w:t>
      </w:r>
      <w:r>
        <w:rPr>
          <w:rFonts w:hint="eastAsia" w:ascii="宋体" w:hAnsi="宋体" w:eastAsia="宋体" w:cs="宋体"/>
          <w:color w:val="000000"/>
          <w:sz w:val="21"/>
          <w:szCs w:val="21"/>
        </w:rPr>
        <w:t>风险是信用风险、流动性风险、市场风险（包括汇率风险、利率风险和商品价格风险）。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本公司整体的风险管理计划针对金融市场的不可预见性，力求减少对本公司财务业绩的潜在不利影响。</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已制定风险管理政策以识别和分析本公司所面临的风险，设定适当的风险可接受水平并设计相应的内部控制程序，以监控本公司的风险水平。本公司会定期重估这些风险管理政策及有关内部控制系统，以适应市场情况或本公司经营活动的改变。内部审计部门也定期及不定期检查内部控制系统的执行是否符合风险管理政策。</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本公司通过适当的多样化投资及业务组合来分散金融工具风险，并通过制定相应的风险管理政策减少集中于单一行业、特定地区或特定交易对手的风险。</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sz w:val="21"/>
          <w:szCs w:val="21"/>
        </w:rPr>
        <w:t>（1）信用风险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信用风险，是指交易对手未能履行合同义务而导致本公司产生财务损失的风险。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本公司对信用风险按组合分类进行管理。信用风险</w:t>
      </w:r>
      <w:r>
        <w:rPr>
          <w:rFonts w:hint="eastAsia" w:ascii="宋体" w:hAnsi="宋体" w:eastAsia="宋体" w:cs="宋体"/>
          <w:color w:val="000000"/>
          <w:sz w:val="21"/>
          <w:szCs w:val="21"/>
        </w:rPr>
        <w:t>主要产生于银行存款、应收票据、应收账款、其他应收款、长期应收款、其他债权投资等。</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本公司银行存款主要存放于</w:t>
      </w:r>
      <w:r>
        <w:rPr>
          <w:rFonts w:hint="eastAsia" w:ascii="宋体" w:hAnsi="宋体" w:eastAsia="宋体" w:cs="宋体"/>
          <w:color w:val="000000"/>
          <w:sz w:val="21"/>
          <w:szCs w:val="21"/>
        </w:rPr>
        <w:t>国有银行和其它大中型上市银行主要存放于声誉良好并拥有较高信用评级的金融机构，本公司预期银行存款不存在重大的信用风险。对于应收票据、应收账款、其他应收款和长期应收款，本公司设定相关政策以控制信用风险敞口。本公司基于对客户的财务状况、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本公司应收账款的债务人为分布于不同行业和地区的客户。本公司持续对应收账款的财务状况实施信用评估，并在适当时购买信用担保保险。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本公司所承受的最大信用风险敞口为资产负债表中每项金融资产的账面金额。本公司没有提供任何其他可能令本公司承受信用风险的担保。</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本公司应收账款中，前五大客户的应收账款占本公</w:t>
      </w:r>
      <w:r>
        <w:rPr>
          <w:rFonts w:hint="eastAsia" w:ascii="宋体" w:hAnsi="宋体" w:eastAsia="宋体" w:cs="宋体"/>
          <w:color w:val="000000"/>
          <w:sz w:val="21"/>
          <w:szCs w:val="21"/>
        </w:rPr>
        <w:t>司应收账款总额的43.23%（2022年：31.21%）；本公司其他应收款中，欠款金额前五大公司的其他应收款占本公司其他应收款总额的47.5</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%（2022年：49.72%）</w:t>
      </w:r>
      <w:r>
        <w:rPr>
          <w:rFonts w:hint="eastAsia" w:ascii="宋体" w:hAnsi="宋体" w:eastAsia="宋体" w:cs="宋体"/>
          <w:sz w:val="21"/>
          <w:szCs w:val="21"/>
        </w:rPr>
        <w:t>。</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sz w:val="21"/>
          <w:szCs w:val="21"/>
        </w:rPr>
        <w:t>（2）流动性风险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流动性风险，是指本公司在履行以交付现金或其他金融资产结算的义务时遇到资金短缺的风险。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本公司通过经营业务产生的资金及银行及其他借款来筹措营运资金。期末，本公司尚未使用的银行借款额度为6.67亿元（上年年末：4.5亿元）。</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shd w:val="clear" w:fill="auto"/>
        </w:rPr>
        <w:t>期末，本公司持有的金融负债和表外担保项目按未折现剩余合同现金流量的到期期限分析如下（单位：万元）：</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93"/>
        <w:gridCol w:w="1606"/>
        <w:gridCol w:w="1104"/>
        <w:gridCol w:w="1104"/>
        <w:gridCol w:w="1197"/>
        <w:gridCol w:w="16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628"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sz w:val="21"/>
                <w:szCs w:val="21"/>
              </w:rPr>
              <w:t>项  目</w:t>
            </w:r>
          </w:p>
        </w:tc>
        <w:tc>
          <w:tcPr>
            <w:tcW w:w="3372" w:type="pct"/>
            <w:gridSpan w:val="5"/>
            <w:tcBorders>
              <w:top w:val="single" w:color="auto" w:sz="8" w:space="0"/>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期末余额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628"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19"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1年以内</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1-2年</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2-3年</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3年以上</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合  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金融负债：</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短期借款</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14,513.17</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14,513.17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交易性金融负债</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5,688.20</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5,688.20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衍生金融负债</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0.14</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0.14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应付账款</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13,583.44</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13,583.44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其他应付款</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12,682.70</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12,682.70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一年内到期的非流动负债</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1,066.04</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1,066.04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租赁负债</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995.42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912.07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6,102.07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8,009.56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长期应付款</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392.02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392.02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628"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金融负债和或有负债合计</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47,533.69</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995.42 </w:t>
            </w:r>
          </w:p>
        </w:tc>
        <w:tc>
          <w:tcPr>
            <w:tcW w:w="563"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912.07 </w:t>
            </w:r>
          </w:p>
        </w:tc>
        <w:tc>
          <w:tcPr>
            <w:tcW w:w="61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6,494.09 </w:t>
            </w:r>
          </w:p>
        </w:tc>
        <w:tc>
          <w:tcPr>
            <w:tcW w:w="819"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55,935.27</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上年年末，本公司持有的金融负债和表外担保项目按未折现剩余合同现金流量的到期期限分析如下（单位：万元）：</w:t>
      </w:r>
      <w:r>
        <w:rPr>
          <w:rFonts w:hint="eastAsia" w:ascii="宋体" w:hAnsi="宋体" w:eastAsia="宋体" w:cs="宋体"/>
          <w:color w:val="0000FF"/>
          <w:sz w:val="21"/>
          <w:szCs w:val="21"/>
        </w:rPr>
        <w:t> </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589"/>
        <w:gridCol w:w="1115"/>
        <w:gridCol w:w="1274"/>
        <w:gridCol w:w="1275"/>
        <w:gridCol w:w="1275"/>
        <w:gridCol w:w="12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sz w:val="21"/>
                <w:szCs w:val="21"/>
              </w:rPr>
              <w:t>项  目</w:t>
            </w:r>
          </w:p>
        </w:tc>
        <w:tc>
          <w:tcPr>
            <w:tcW w:w="3164" w:type="pct"/>
            <w:gridSpan w:val="5"/>
            <w:tcBorders>
              <w:top w:val="single" w:color="auto" w:sz="8" w:space="0"/>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上年年末余额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542"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1年以内</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1-2年</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2-3年</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3年以上</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sz w:val="21"/>
                <w:szCs w:val="21"/>
              </w:rPr>
              <w:t>合  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金融负债：</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应付账款</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12,471.68</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12,471.68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其他应付款</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10,518.03</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10,518.03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一年内到期的非流动负债</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200.98</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200.98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长期借款</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694.87</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907.01</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1,024.18</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18,356.71</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20,982.77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租赁负债</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26.84</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26.84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长期应付款</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392.02</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392.02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1835"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金融负债和或有负债合计</w:t>
            </w:r>
          </w:p>
        </w:tc>
        <w:tc>
          <w:tcPr>
            <w:tcW w:w="542"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23,912.40</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907.01</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1,024.18</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18,748.73</w:t>
            </w:r>
          </w:p>
        </w:tc>
        <w:tc>
          <w:tcPr>
            <w:tcW w:w="655"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44,592.32</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上表中披露的金融负债金额为未经折现的合同现金流量，因而可能与资产负债表中的账面金额有所不同。</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已签订的担保合同最大担保金额并不代表即将支付的金额。</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color w:val="000000"/>
          <w:sz w:val="21"/>
          <w:szCs w:val="21"/>
        </w:rPr>
        <w:t>（3）市场风险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金融工具的市场风险，是指金融工具的公允价值或未来现金流量因市场价格变动而发生波动的风险，包括利率风险、汇率风险和其他价格风险。</w:t>
      </w:r>
    </w:p>
    <w:p>
      <w:pPr>
        <w:pStyle w:val="8"/>
        <w:keepNext w:val="0"/>
        <w:keepLines w:val="0"/>
        <w:widowControl/>
        <w:suppressLineNumbers w:val="0"/>
        <w:spacing w:before="216"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利率风险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利率风险，是指金融工具的公允价值或未来现金流量因市场利率变动而发生波动的风险。利率风险可源于已确认的计息金融工具和未确认的金融工具（如某些贷款承诺）。</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的利率风险主要产生于长期银行借款及应付债券等长期带息债务。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密切关注利率变动对本公司利率风险的影响。本公司目前并未采取利率对冲政策。但管理层负责监控利率风险，并将于需要时考虑对冲重大利率风险。利率上升会增加新增带息债务的成本以及本公司尚未付清的以浮动利率计息的带息债务的利息费用，并对本公司的财务业绩产生重大的不利影响，管理层会依据最新的市场状况及时做出调整，这些调整可能是进行利率互换的安排来降低利率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对于资产负债表日持有的、使本公司面临公允价值利率风险的金融工具，上述敏感性分析中的净利润及股东权益的影响是假设在资产负债表日利率发生变动，按照新利率对上述金融工具进行重新计量后的影响。对于资产负债表日持有的、使本公司面临现金流量利率风险的浮动利率非衍生工具，上述敏感性分析中的净利润及股东权益的影响是上述利率变动对按年度估算的利息费用或收入的影响。上一年度的分析基于同样的假设和方法。</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汇率风险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汇率风险，是指金融工具的公允价值或未来现金流量因外汇汇率变动而发生波动的风险。汇率风险可源于以记账本位币之外的外币进行计价的金融工具。</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本公司的主要经营位于中国境内，主要业务以人民币结算。因此本公司认为面临的汇率风险不重大。</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本公司密切关注汇率变动对本公司汇率风险的影响。本公司目前并未采取任何措施规避汇率风险。但管理层负责监控汇率风险，并将于需要时考虑对冲重大汇率风险。</w:t>
      </w:r>
    </w:p>
    <w:p>
      <w:pPr>
        <w:pStyle w:val="5"/>
        <w:rPr>
          <w:rFonts w:hint="eastAsia" w:ascii="宋体" w:hAnsi="宋体" w:eastAsia="宋体" w:cs="宋体"/>
          <w:sz w:val="21"/>
          <w:szCs w:val="21"/>
        </w:rPr>
      </w:pPr>
      <w:r>
        <w:rPr>
          <w:rFonts w:hint="eastAsia" w:ascii="宋体" w:hAnsi="宋体" w:eastAsia="宋体" w:cs="宋体"/>
          <w:color w:val="000000"/>
          <w:sz w:val="21"/>
          <w:szCs w:val="21"/>
        </w:rPr>
        <w:t>资本管理</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本公司资本管理政策的目标是为了保障本公司能够持续经营，从而为股东提供回报，并使其他利益相关者获益，同时维持最佳的资本结构以降低资本成本。</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为了维持或调整资本结构，本公司可能会调整融资方式、调整支付给股东的股利金额、向股东返还资本、发行新股与其他权益工具或出售资产以减低债务。</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本公司以资产负债率（即总负债除以总资产）为基础对资本结构进行监控。期末，本公司的资产负债率为27.99%（上年年末：25.80%）。</w:t>
      </w:r>
    </w:p>
    <w:p>
      <w:pPr>
        <w:pStyle w:val="8"/>
        <w:keepNext w:val="0"/>
        <w:keepLines w:val="0"/>
        <w:widowControl/>
        <w:spacing w:before="0" w:after="0" w:line="280" w:lineRule="exact"/>
        <w:jc w:val="both"/>
        <w:outlineLvl w:val="2"/>
        <w:rPr>
          <w:rFonts w:ascii="宋体" w:hAnsi="宋体" w:eastAsia="宋体" w:cs="宋体"/>
          <w:b/>
          <w:bCs/>
          <w:sz w:val="21"/>
          <w:szCs w:val="21"/>
        </w:rPr>
      </w:pPr>
      <w:r>
        <w:rPr>
          <w:rFonts w:hint="eastAsia" w:ascii="宋体" w:hAnsi="宋体" w:eastAsia="宋体" w:cs="宋体"/>
          <w:sz w:val="21"/>
          <w:szCs w:val="21"/>
        </w:rPr>
        <w:t> </w:t>
      </w:r>
      <w:bookmarkStart w:id="356" w:name="_Toc989245"/>
      <w:r>
        <w:rPr>
          <w:rFonts w:ascii="宋体" w:hAnsi="宋体" w:eastAsia="宋体" w:cs="宋体"/>
          <w:b/>
          <w:bCs/>
          <w:sz w:val="21"/>
          <w:szCs w:val="21"/>
        </w:rPr>
        <w:t>2、套期</w:t>
      </w:r>
      <w:bookmarkEnd w:id="356"/>
    </w:p>
    <w:p>
      <w:pPr>
        <w:keepNext/>
        <w:keepLines/>
        <w:spacing w:before="300" w:after="300" w:line="280" w:lineRule="exact"/>
        <w:jc w:val="left"/>
        <w:outlineLvl w:val="3"/>
        <w:rPr>
          <w:rFonts w:ascii="宋体" w:hAnsi="宋体" w:eastAsia="宋体" w:cs="宋体"/>
          <w:b/>
          <w:bCs/>
          <w:sz w:val="18"/>
          <w:szCs w:val="18"/>
        </w:rPr>
      </w:pPr>
      <w:bookmarkStart w:id="357" w:name="_Toc989246"/>
      <w:r>
        <w:rPr>
          <w:rFonts w:ascii="宋体" w:hAnsi="宋体" w:eastAsia="宋体" w:cs="宋体"/>
          <w:b/>
          <w:bCs/>
          <w:sz w:val="18"/>
          <w:szCs w:val="18"/>
        </w:rPr>
        <w:t>（1） 公司开展套期业务进行风险管理</w:t>
      </w:r>
      <w:bookmarkEnd w:id="357"/>
    </w:p>
    <w:p>
      <w:pPr>
        <w:spacing w:before="100" w:after="100" w:line="240" w:lineRule="exact"/>
        <w:jc w:val="left"/>
        <w:rPr>
          <w:rFonts w:ascii="宋体" w:hAnsi="宋体" w:eastAsia="宋体" w:cs="宋体"/>
          <w:sz w:val="21"/>
          <w:szCs w:val="21"/>
        </w:rPr>
      </w:pPr>
      <w:r>
        <w:rPr>
          <w:rFonts w:ascii="宋体" w:hAnsi="宋体" w:eastAsia="宋体" w:cs="宋体"/>
          <w:sz w:val="21"/>
          <w:szCs w:val="21"/>
        </w:rPr>
        <w:sym w:font="Wingdings 2" w:char="F052"/>
      </w:r>
      <w:r>
        <w:rPr>
          <w:rFonts w:ascii="宋体" w:hAnsi="宋体" w:eastAsia="宋体" w:cs="宋体"/>
          <w:sz w:val="21"/>
          <w:szCs w:val="21"/>
        </w:rPr>
        <w:t>适用 □不适用</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本公司之子公司国润黄金（深圳）有限公司、深圳市特力宝库供应链科技有限公司为规避所持有黄金原材料公允价值变动风险（即被套期风险），基于顾客预订投资金条数量分析预期的黄金原材料采购交易，以此为依据使用上海黄金交易所的黄金现货延期交收合约、上海期货交易所的黄金期货合约、场内黄金期权等套期工具，以达到规避由于黄金价格大幅下跌造成的黄金产品跌价风险。本公司之子公司国润黄金制定了《套期保值业务管理办法》，该办法对公司开展套期保值业务的审批权限、操作流程及风险控制等方面做出了明确规定。该项套期为公允价值套期，指定该套期关系的会计期间为2023年1月1日至2023年12月31日。</w:t>
      </w:r>
    </w:p>
    <w:p>
      <w:pPr>
        <w:pStyle w:val="8"/>
        <w:keepNext w:val="0"/>
        <w:keepLines w:val="0"/>
        <w:widowControl/>
        <w:suppressLineNumbers w:val="0"/>
        <w:spacing w:before="120" w:beforeAutospacing="0" w:after="216" w:afterAutospacing="0"/>
        <w:ind w:left="0" w:right="0"/>
        <w:jc w:val="both"/>
        <w:rPr>
          <w:rFonts w:hint="eastAsia" w:ascii="宋体" w:hAnsi="宋体" w:eastAsia="宋体" w:cs="宋体"/>
          <w:color w:val="000000"/>
          <w:sz w:val="21"/>
          <w:szCs w:val="21"/>
        </w:rPr>
      </w:pPr>
      <w:r>
        <w:rPr>
          <w:rFonts w:hint="eastAsia" w:ascii="宋体" w:hAnsi="宋体" w:eastAsia="宋体" w:cs="宋体"/>
          <w:color w:val="000000"/>
          <w:sz w:val="21"/>
          <w:szCs w:val="21"/>
        </w:rPr>
        <w:t>本公司使用自有资金开展套期保值业务的审批程序符合国家相关法律、法规及《公司章程》的有关规定，为规避黄金价格波动而开展的黄金延期交易套期保值业务，有利于控制经营风险，提高公司抵御市场波动的能力。</w:t>
      </w:r>
    </w:p>
    <w:p>
      <w:pPr>
        <w:keepNext/>
        <w:keepLines/>
        <w:spacing w:before="300" w:after="300" w:line="280" w:lineRule="exact"/>
        <w:jc w:val="left"/>
        <w:outlineLvl w:val="3"/>
        <w:rPr>
          <w:rFonts w:ascii="宋体" w:hAnsi="宋体" w:eastAsia="宋体" w:cs="宋体"/>
          <w:b/>
          <w:bCs/>
          <w:sz w:val="18"/>
          <w:szCs w:val="18"/>
        </w:rPr>
      </w:pPr>
      <w:r>
        <w:rPr>
          <w:rFonts w:ascii="宋体" w:hAnsi="宋体" w:eastAsia="宋体" w:cs="宋体"/>
          <w:b/>
          <w:bCs/>
          <w:sz w:val="18"/>
          <w:szCs w:val="18"/>
        </w:rPr>
        <w:t>（2） 公司开展符合条件套期业务并应用套期会计</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被套期项目的账面价值以及相关调整如下：</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2023年</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07"/>
        <w:gridCol w:w="1607"/>
        <w:gridCol w:w="1142"/>
        <w:gridCol w:w="1297"/>
        <w:gridCol w:w="1531"/>
        <w:gridCol w:w="1278"/>
        <w:gridCol w:w="15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cantSplit/>
          <w:trHeight w:val="340" w:hRule="atLeast"/>
          <w:jc w:val="center"/>
        </w:trPr>
        <w:tc>
          <w:tcPr>
            <w:tcW w:w="717"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项目</w:t>
            </w:r>
          </w:p>
        </w:tc>
        <w:tc>
          <w:tcPr>
            <w:tcW w:w="1401"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被套期项目的账面价值</w:t>
            </w:r>
          </w:p>
        </w:tc>
        <w:tc>
          <w:tcPr>
            <w:tcW w:w="1441"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被套期项目公允价值套期调整的累计金额（计入被套期项目的账面价值）</w:t>
            </w:r>
          </w:p>
        </w:tc>
        <w:tc>
          <w:tcPr>
            <w:tcW w:w="651"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包含被套期项目的资产负债表列示项目</w:t>
            </w:r>
          </w:p>
        </w:tc>
        <w:tc>
          <w:tcPr>
            <w:tcW w:w="787"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eastAsia="zh-CN"/>
              </w:rPr>
            </w:pPr>
            <w:r>
              <w:rPr>
                <w:rStyle w:val="11"/>
                <w:rFonts w:hint="eastAsia" w:ascii="宋体" w:hAnsi="宋体" w:eastAsia="宋体" w:cs="宋体"/>
                <w:color w:val="000000"/>
                <w:sz w:val="21"/>
                <w:szCs w:val="21"/>
              </w:rPr>
              <w:t>2023年用作确认套期无效部分基础的被套期项目公允价值变动</w:t>
            </w:r>
            <w:r>
              <w:rPr>
                <w:rStyle w:val="11"/>
                <w:rFonts w:hint="eastAsia" w:ascii="宋体" w:hAnsi="宋体" w:cs="宋体"/>
                <w:color w:val="000000"/>
                <w:sz w:val="21"/>
                <w:szCs w:val="21"/>
                <w:lang w:eastAsia="zh-CN"/>
              </w:rPr>
              <w:t>（</w:t>
            </w:r>
            <w:r>
              <w:rPr>
                <w:rStyle w:val="11"/>
                <w:rFonts w:hint="eastAsia" w:ascii="宋体" w:hAnsi="宋体" w:cs="宋体"/>
                <w:color w:val="000000"/>
                <w:sz w:val="21"/>
                <w:szCs w:val="21"/>
                <w:lang w:val="en-US" w:eastAsia="zh-CN"/>
              </w:rPr>
              <w:t>注</w:t>
            </w:r>
            <w:r>
              <w:rPr>
                <w:rStyle w:val="11"/>
                <w:rFonts w:hint="eastAsia" w:ascii="宋体" w:hAnsi="宋体" w:cs="宋体"/>
                <w:color w:val="00000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717"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19"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582"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661"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78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651"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787"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71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商品价格风险-存货</w:t>
            </w:r>
          </w:p>
        </w:tc>
        <w:tc>
          <w:tcPr>
            <w:tcW w:w="819"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85,802,395.07</w:t>
            </w:r>
          </w:p>
        </w:tc>
        <w:tc>
          <w:tcPr>
            <w:tcW w:w="582"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   </w:t>
            </w:r>
          </w:p>
        </w:tc>
        <w:tc>
          <w:tcPr>
            <w:tcW w:w="661"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bCs/>
                <w:color w:val="000000"/>
                <w:kern w:val="0"/>
                <w:sz w:val="21"/>
                <w:szCs w:val="21"/>
                <w:lang w:bidi="ar"/>
              </w:rPr>
              <w:t>442,847.41</w:t>
            </w:r>
          </w:p>
        </w:tc>
        <w:tc>
          <w:tcPr>
            <w:tcW w:w="78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Style w:val="11"/>
                <w:rFonts w:hint="eastAsia" w:ascii="宋体" w:hAnsi="宋体" w:eastAsia="宋体" w:cs="宋体"/>
                <w:b/>
                <w:bCs/>
                <w:color w:val="000000"/>
                <w:sz w:val="21"/>
                <w:szCs w:val="21"/>
              </w:rPr>
              <w:t> -   </w:t>
            </w:r>
          </w:p>
        </w:tc>
        <w:tc>
          <w:tcPr>
            <w:tcW w:w="651"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Fonts w:hint="eastAsia" w:ascii="宋体" w:hAnsi="宋体" w:eastAsia="宋体" w:cs="宋体"/>
                <w:color w:val="000000"/>
                <w:sz w:val="21"/>
                <w:szCs w:val="21"/>
              </w:rPr>
              <w:t>存货</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color w:val="000000"/>
                <w:sz w:val="21"/>
                <w:szCs w:val="21"/>
              </w:rPr>
              <w:t xml:space="preserve"> - </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2022年</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12"/>
        <w:gridCol w:w="1745"/>
        <w:gridCol w:w="758"/>
        <w:gridCol w:w="1430"/>
        <w:gridCol w:w="1501"/>
        <w:gridCol w:w="1246"/>
        <w:gridCol w:w="1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837"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项目</w:t>
            </w:r>
          </w:p>
        </w:tc>
        <w:tc>
          <w:tcPr>
            <w:tcW w:w="1285"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被套期项目的账面价值</w:t>
            </w:r>
          </w:p>
        </w:tc>
        <w:tc>
          <w:tcPr>
            <w:tcW w:w="1441"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被套期项目公允价值套期调整的累计金额（计入被套期项目的账面价值）</w:t>
            </w:r>
          </w:p>
        </w:tc>
        <w:tc>
          <w:tcPr>
            <w:tcW w:w="650"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包含被套期项目的资产负债表列示项目</w:t>
            </w:r>
          </w:p>
        </w:tc>
        <w:tc>
          <w:tcPr>
            <w:tcW w:w="787"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eastAsia="zh-CN"/>
              </w:rPr>
            </w:pPr>
            <w:r>
              <w:rPr>
                <w:rStyle w:val="11"/>
                <w:rFonts w:hint="eastAsia" w:ascii="宋体" w:hAnsi="宋体" w:eastAsia="宋体" w:cs="宋体"/>
                <w:color w:val="000000"/>
                <w:sz w:val="21"/>
                <w:szCs w:val="21"/>
              </w:rPr>
              <w:t>2022年用作确认套期无效部分基础的被套期项目公允价值变动</w:t>
            </w:r>
            <w:r>
              <w:rPr>
                <w:rStyle w:val="11"/>
                <w:rFonts w:hint="eastAsia" w:ascii="宋体" w:hAnsi="宋体" w:cs="宋体"/>
                <w:color w:val="000000"/>
                <w:sz w:val="21"/>
                <w:szCs w:val="21"/>
                <w:lang w:eastAsia="zh-CN"/>
              </w:rPr>
              <w:t>（</w:t>
            </w:r>
            <w:r>
              <w:rPr>
                <w:rStyle w:val="11"/>
                <w:rFonts w:hint="eastAsia" w:ascii="宋体" w:hAnsi="宋体" w:cs="宋体"/>
                <w:color w:val="000000"/>
                <w:sz w:val="21"/>
                <w:szCs w:val="21"/>
                <w:lang w:val="en-US" w:eastAsia="zh-CN"/>
              </w:rPr>
              <w:t>注</w:t>
            </w:r>
            <w:r>
              <w:rPr>
                <w:rStyle w:val="11"/>
                <w:rFonts w:hint="eastAsia" w:ascii="宋体" w:hAnsi="宋体" w:cs="宋体"/>
                <w:color w:val="00000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837"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83"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40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661"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78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650"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787"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83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商品价格风险-存货</w:t>
            </w:r>
          </w:p>
        </w:tc>
        <w:tc>
          <w:tcPr>
            <w:tcW w:w="883"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xml:space="preserve"> 78,647,998.02 </w:t>
            </w:r>
          </w:p>
        </w:tc>
        <w:tc>
          <w:tcPr>
            <w:tcW w:w="40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   </w:t>
            </w:r>
          </w:p>
        </w:tc>
        <w:tc>
          <w:tcPr>
            <w:tcW w:w="661"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xml:space="preserve"> 543,878.09 </w:t>
            </w:r>
          </w:p>
        </w:tc>
        <w:tc>
          <w:tcPr>
            <w:tcW w:w="78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   </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Fonts w:hint="eastAsia" w:ascii="宋体" w:hAnsi="宋体" w:eastAsia="宋体" w:cs="宋体"/>
                <w:color w:val="000000"/>
                <w:sz w:val="21"/>
                <w:szCs w:val="21"/>
              </w:rPr>
              <w:t>存货</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color w:val="000000"/>
                <w:sz w:val="21"/>
                <w:szCs w:val="21"/>
              </w:rPr>
              <w:t xml:space="preserve"> - </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套期工具的账面价值以及公允价值变动如下：</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2023年</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36"/>
        <w:gridCol w:w="1607"/>
        <w:gridCol w:w="1488"/>
        <w:gridCol w:w="1794"/>
        <w:gridCol w:w="1488"/>
        <w:gridCol w:w="17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834"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项目</w:t>
            </w:r>
          </w:p>
        </w:tc>
        <w:tc>
          <w:tcPr>
            <w:tcW w:w="819"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套期工具的</w:t>
            </w:r>
          </w:p>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名义金额</w:t>
            </w:r>
          </w:p>
        </w:tc>
        <w:tc>
          <w:tcPr>
            <w:tcW w:w="1671"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套期工具的账面价值</w:t>
            </w:r>
          </w:p>
        </w:tc>
        <w:tc>
          <w:tcPr>
            <w:tcW w:w="758"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包含套期工具的资产负债表列示项目</w:t>
            </w:r>
          </w:p>
        </w:tc>
        <w:tc>
          <w:tcPr>
            <w:tcW w:w="914"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eastAsia="zh-CN"/>
              </w:rPr>
            </w:pPr>
            <w:r>
              <w:rPr>
                <w:rStyle w:val="11"/>
                <w:rFonts w:hint="eastAsia" w:ascii="宋体" w:hAnsi="宋体" w:eastAsia="宋体" w:cs="宋体"/>
                <w:color w:val="000000"/>
                <w:sz w:val="21"/>
                <w:szCs w:val="21"/>
              </w:rPr>
              <w:t>2023年用作确认套期无效部分基础的套期工具公允价值变动</w:t>
            </w:r>
            <w:r>
              <w:rPr>
                <w:rStyle w:val="11"/>
                <w:rFonts w:hint="eastAsia" w:ascii="宋体" w:hAnsi="宋体" w:cs="宋体"/>
                <w:color w:val="000000"/>
                <w:sz w:val="21"/>
                <w:szCs w:val="21"/>
                <w:lang w:eastAsia="zh-CN"/>
              </w:rPr>
              <w:t>（</w:t>
            </w:r>
            <w:r>
              <w:rPr>
                <w:rStyle w:val="11"/>
                <w:rFonts w:hint="eastAsia" w:ascii="宋体" w:hAnsi="宋体" w:cs="宋体"/>
                <w:color w:val="000000"/>
                <w:sz w:val="21"/>
                <w:szCs w:val="21"/>
                <w:lang w:val="en-US" w:eastAsia="zh-CN"/>
              </w:rPr>
              <w:t>注</w:t>
            </w:r>
            <w:r>
              <w:rPr>
                <w:rStyle w:val="11"/>
                <w:rFonts w:hint="eastAsia" w:ascii="宋体" w:hAnsi="宋体" w:cs="宋体"/>
                <w:color w:val="00000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834"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758"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914"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758"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914"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834"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商品价格风险-存货</w:t>
            </w:r>
          </w:p>
        </w:tc>
        <w:tc>
          <w:tcPr>
            <w:tcW w:w="819"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85,802,395.07</w:t>
            </w:r>
          </w:p>
        </w:tc>
        <w:tc>
          <w:tcPr>
            <w:tcW w:w="758"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xml:space="preserve"> 298,320.00 </w:t>
            </w:r>
          </w:p>
        </w:tc>
        <w:tc>
          <w:tcPr>
            <w:tcW w:w="914"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Fonts w:hint="eastAsia" w:ascii="宋体" w:hAnsi="宋体" w:eastAsia="宋体" w:cs="宋体"/>
                <w:color w:val="000000"/>
                <w:sz w:val="21"/>
                <w:szCs w:val="21"/>
              </w:rPr>
              <w:t xml:space="preserve"> 1,380.00 </w:t>
            </w:r>
          </w:p>
        </w:tc>
        <w:tc>
          <w:tcPr>
            <w:tcW w:w="758"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Fonts w:hint="eastAsia" w:ascii="宋体" w:hAnsi="宋体" w:eastAsia="宋体" w:cs="宋体"/>
                <w:color w:val="000000"/>
                <w:sz w:val="21"/>
                <w:szCs w:val="21"/>
              </w:rPr>
              <w:t>衍生金融资产/负债</w:t>
            </w:r>
          </w:p>
        </w:tc>
        <w:tc>
          <w:tcPr>
            <w:tcW w:w="914"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color w:val="000000"/>
                <w:sz w:val="21"/>
                <w:szCs w:val="21"/>
              </w:rPr>
              <w:t xml:space="preserve"> - </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2022年</w:t>
      </w:r>
    </w:p>
    <w:tbl>
      <w:tblPr>
        <w:tblStyle w:val="9"/>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08"/>
        <w:gridCol w:w="1745"/>
        <w:gridCol w:w="1457"/>
        <w:gridCol w:w="1772"/>
        <w:gridCol w:w="1555"/>
        <w:gridCol w:w="16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834"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项目</w:t>
            </w:r>
          </w:p>
        </w:tc>
        <w:tc>
          <w:tcPr>
            <w:tcW w:w="819"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套期工具的</w:t>
            </w:r>
          </w:p>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名义金额</w:t>
            </w:r>
          </w:p>
        </w:tc>
        <w:tc>
          <w:tcPr>
            <w:tcW w:w="1674"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套期工具的账面价值</w:t>
            </w:r>
          </w:p>
        </w:tc>
        <w:tc>
          <w:tcPr>
            <w:tcW w:w="806"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包含套期工具的资产负债表列示项目</w:t>
            </w:r>
          </w:p>
        </w:tc>
        <w:tc>
          <w:tcPr>
            <w:tcW w:w="865"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eastAsia="zh-CN"/>
              </w:rPr>
            </w:pPr>
            <w:r>
              <w:rPr>
                <w:rStyle w:val="11"/>
                <w:rFonts w:hint="eastAsia" w:ascii="宋体" w:hAnsi="宋体" w:eastAsia="宋体" w:cs="宋体"/>
                <w:color w:val="000000"/>
                <w:sz w:val="21"/>
                <w:szCs w:val="21"/>
              </w:rPr>
              <w:t>2022年用作确认套期无效部分基础的套期工具公允价值变动</w:t>
            </w:r>
            <w:r>
              <w:rPr>
                <w:rStyle w:val="11"/>
                <w:rFonts w:hint="eastAsia" w:ascii="宋体" w:hAnsi="宋体" w:cs="宋体"/>
                <w:color w:val="000000"/>
                <w:sz w:val="21"/>
                <w:szCs w:val="21"/>
                <w:lang w:eastAsia="zh-CN"/>
              </w:rPr>
              <w:t>（</w:t>
            </w:r>
            <w:r>
              <w:rPr>
                <w:rStyle w:val="11"/>
                <w:rFonts w:hint="eastAsia" w:ascii="宋体" w:hAnsi="宋体" w:cs="宋体"/>
                <w:color w:val="000000"/>
                <w:sz w:val="21"/>
                <w:szCs w:val="21"/>
                <w:lang w:val="en-US" w:eastAsia="zh-CN"/>
              </w:rPr>
              <w:t>注</w:t>
            </w:r>
            <w:r>
              <w:rPr>
                <w:rStyle w:val="11"/>
                <w:rFonts w:hint="eastAsia" w:ascii="宋体" w:hAnsi="宋体" w:cs="宋体"/>
                <w:color w:val="00000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40" w:hRule="atLeast"/>
          <w:jc w:val="center"/>
        </w:trPr>
        <w:tc>
          <w:tcPr>
            <w:tcW w:w="834"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75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资产</w:t>
            </w:r>
          </w:p>
        </w:tc>
        <w:tc>
          <w:tcPr>
            <w:tcW w:w="916"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color w:val="000000"/>
                <w:sz w:val="21"/>
                <w:szCs w:val="21"/>
              </w:rPr>
              <w:t>负债</w:t>
            </w:r>
          </w:p>
        </w:tc>
        <w:tc>
          <w:tcPr>
            <w:tcW w:w="806"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c>
          <w:tcPr>
            <w:tcW w:w="865" w:type="pct"/>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rPr>
                <w:rFonts w:hint="eastAsia" w:ascii="宋体" w:hAnsi="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340" w:hRule="atLeast"/>
          <w:jc w:val="center"/>
        </w:trPr>
        <w:tc>
          <w:tcPr>
            <w:tcW w:w="834"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商品价格风险-存货</w:t>
            </w:r>
          </w:p>
        </w:tc>
        <w:tc>
          <w:tcPr>
            <w:tcW w:w="819"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Style w:val="11"/>
                <w:rFonts w:hint="eastAsia" w:ascii="宋体" w:hAnsi="宋体" w:eastAsia="宋体" w:cs="宋体"/>
                <w:b w:val="0"/>
                <w:bCs w:val="0"/>
                <w:color w:val="000000"/>
                <w:sz w:val="21"/>
                <w:szCs w:val="21"/>
              </w:rPr>
              <w:t xml:space="preserve"> 78,647,998.02 </w:t>
            </w:r>
          </w:p>
        </w:tc>
        <w:tc>
          <w:tcPr>
            <w:tcW w:w="757"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Style w:val="11"/>
                <w:rFonts w:hint="eastAsia" w:ascii="宋体" w:hAnsi="宋体" w:eastAsia="宋体" w:cs="宋体"/>
                <w:b w:val="0"/>
                <w:bCs w:val="0"/>
                <w:color w:val="000000"/>
                <w:sz w:val="21"/>
                <w:szCs w:val="21"/>
              </w:rPr>
              <w:t> -   </w:t>
            </w:r>
          </w:p>
        </w:tc>
        <w:tc>
          <w:tcPr>
            <w:tcW w:w="916"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textAlignment w:val="center"/>
              <w:rPr>
                <w:rFonts w:hint="eastAsia" w:ascii="宋体" w:hAnsi="宋体" w:cs="宋体"/>
                <w:sz w:val="21"/>
                <w:szCs w:val="21"/>
              </w:rPr>
            </w:pPr>
            <w:r>
              <w:rPr>
                <w:rStyle w:val="11"/>
                <w:rFonts w:hint="eastAsia" w:ascii="宋体" w:hAnsi="宋体" w:eastAsia="宋体" w:cs="宋体"/>
                <w:b w:val="0"/>
                <w:bCs w:val="0"/>
                <w:color w:val="000000"/>
                <w:sz w:val="21"/>
                <w:szCs w:val="21"/>
              </w:rPr>
              <w:t xml:space="preserve"> 489,360.00 </w:t>
            </w:r>
          </w:p>
        </w:tc>
        <w:tc>
          <w:tcPr>
            <w:tcW w:w="806"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Fonts w:hint="eastAsia" w:ascii="宋体" w:hAnsi="宋体" w:eastAsia="宋体" w:cs="宋体"/>
                <w:color w:val="000000"/>
                <w:sz w:val="21"/>
                <w:szCs w:val="21"/>
              </w:rPr>
              <w:t>衍生金融负债</w:t>
            </w:r>
          </w:p>
        </w:tc>
        <w:tc>
          <w:tcPr>
            <w:tcW w:w="865" w:type="pct"/>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color w:val="000000"/>
                <w:sz w:val="21"/>
                <w:szCs w:val="21"/>
              </w:rPr>
              <w:t xml:space="preserve"> - </w:t>
            </w:r>
          </w:p>
        </w:tc>
      </w:tr>
    </w:tbl>
    <w:p>
      <w:pPr>
        <w:snapToGrid w:val="0"/>
        <w:spacing w:before="120" w:beforeLines="50" w:after="216" w:afterLines="90"/>
        <w:rPr>
          <w:rFonts w:hint="eastAsia" w:ascii="宋体" w:hAnsi="宋体" w:eastAsia="宋体" w:cs="宋体"/>
          <w:color w:val="000000"/>
          <w:sz w:val="21"/>
          <w:szCs w:val="21"/>
        </w:rPr>
      </w:pPr>
      <w:bookmarkStart w:id="358" w:name="_Toc989248"/>
      <w:r>
        <w:rPr>
          <w:rFonts w:hint="eastAsia" w:ascii="宋体" w:hAnsi="宋体" w:eastAsia="宋体" w:cs="宋体"/>
          <w:color w:val="000000"/>
          <w:sz w:val="21"/>
          <w:szCs w:val="21"/>
        </w:rPr>
        <w:t>注：套期无效部分主要来自基差风险、现货或期货市场供求变动风险以及其他现货或期货市场的不确定性风险等。本年度和上年度确认的套期无效的金额并不重大。</w:t>
      </w:r>
    </w:p>
    <w:p>
      <w:pPr>
        <w:keepNext/>
        <w:keepLines/>
        <w:spacing w:before="300" w:after="300" w:line="280" w:lineRule="exact"/>
        <w:jc w:val="left"/>
        <w:outlineLvl w:val="3"/>
        <w:rPr>
          <w:rFonts w:ascii="宋体" w:hAnsi="宋体" w:eastAsia="宋体" w:cs="宋体"/>
          <w:b/>
          <w:bCs/>
          <w:sz w:val="18"/>
          <w:szCs w:val="18"/>
        </w:rPr>
      </w:pPr>
      <w:r>
        <w:rPr>
          <w:rFonts w:ascii="宋体" w:hAnsi="宋体" w:eastAsia="宋体" w:cs="宋体"/>
          <w:b/>
          <w:bCs/>
          <w:sz w:val="18"/>
          <w:szCs w:val="18"/>
        </w:rPr>
        <w:t>（3） 公司开展套期业务进行风险管理、预期能实现风险管理目标但未应用套期会计</w:t>
      </w:r>
      <w:bookmarkEnd w:id="35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59" w:name="_Toc989249"/>
      <w:r>
        <w:rPr>
          <w:rFonts w:ascii="宋体" w:hAnsi="宋体" w:eastAsia="宋体" w:cs="宋体"/>
          <w:b/>
          <w:bCs/>
          <w:sz w:val="21"/>
          <w:szCs w:val="21"/>
        </w:rPr>
        <w:t>3、金融资产</w:t>
      </w:r>
      <w:bookmarkEnd w:id="359"/>
    </w:p>
    <w:p>
      <w:pPr>
        <w:keepNext/>
        <w:keepLines/>
        <w:spacing w:before="300" w:after="300" w:line="280" w:lineRule="exact"/>
        <w:jc w:val="left"/>
        <w:outlineLvl w:val="3"/>
        <w:rPr>
          <w:rFonts w:ascii="宋体" w:hAnsi="宋体" w:eastAsia="宋体" w:cs="宋体"/>
          <w:b/>
          <w:bCs/>
          <w:sz w:val="18"/>
          <w:szCs w:val="18"/>
        </w:rPr>
      </w:pPr>
      <w:bookmarkStart w:id="360" w:name="_Toc989250"/>
      <w:r>
        <w:rPr>
          <w:rFonts w:ascii="宋体" w:hAnsi="宋体" w:eastAsia="宋体" w:cs="宋体"/>
          <w:b/>
          <w:bCs/>
          <w:sz w:val="18"/>
          <w:szCs w:val="18"/>
        </w:rPr>
        <w:t>（1） 转移方式分类</w:t>
      </w:r>
      <w:bookmarkEnd w:id="36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361" w:name="_Toc989251"/>
      <w:r>
        <w:rPr>
          <w:rFonts w:ascii="宋体" w:hAnsi="宋体" w:eastAsia="宋体" w:cs="宋体"/>
          <w:b/>
          <w:bCs/>
          <w:sz w:val="18"/>
          <w:szCs w:val="18"/>
        </w:rPr>
        <w:t>（2） 因转移而终止确认的金融资产</w:t>
      </w:r>
      <w:bookmarkEnd w:id="36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362" w:name="_Toc989252"/>
      <w:r>
        <w:rPr>
          <w:rFonts w:ascii="宋体" w:hAnsi="宋体" w:eastAsia="宋体" w:cs="宋体"/>
          <w:b/>
          <w:bCs/>
          <w:sz w:val="18"/>
          <w:szCs w:val="18"/>
        </w:rPr>
        <w:t>（3） 继续涉入的资产转移金融资产</w:t>
      </w:r>
      <w:bookmarkEnd w:id="36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63" w:name="_Toc989253"/>
      <w:r>
        <w:rPr>
          <w:rFonts w:ascii="宋体" w:hAnsi="宋体" w:eastAsia="宋体" w:cs="宋体"/>
          <w:b/>
          <w:bCs/>
          <w:sz w:val="24"/>
          <w:szCs w:val="24"/>
        </w:rPr>
        <w:t>十二、公允价值的披露</w:t>
      </w:r>
      <w:bookmarkEnd w:id="363"/>
    </w:p>
    <w:p>
      <w:pPr>
        <w:keepNext/>
        <w:keepLines/>
        <w:spacing w:before="300" w:after="300" w:line="280" w:lineRule="exact"/>
        <w:jc w:val="left"/>
        <w:outlineLvl w:val="2"/>
        <w:rPr>
          <w:rFonts w:ascii="宋体" w:hAnsi="宋体" w:eastAsia="宋体" w:cs="宋体"/>
          <w:b/>
          <w:bCs/>
          <w:sz w:val="21"/>
          <w:szCs w:val="21"/>
        </w:rPr>
      </w:pPr>
      <w:bookmarkStart w:id="364" w:name="_Toc989254"/>
      <w:r>
        <w:rPr>
          <w:rFonts w:ascii="宋体" w:hAnsi="宋体" w:eastAsia="宋体" w:cs="宋体"/>
          <w:b/>
          <w:bCs/>
          <w:sz w:val="21"/>
          <w:szCs w:val="21"/>
        </w:rPr>
        <w:t>1、以公允价值计量的资产和负债的期末公允价值</w:t>
      </w:r>
      <w:bookmarkEnd w:id="3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30"/>
        <w:gridCol w:w="1534"/>
        <w:gridCol w:w="1543"/>
        <w:gridCol w:w="1423"/>
        <w:gridCol w:w="15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601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期末公允价值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第一层次公允价值计量</w:t>
            </w:r>
          </w:p>
        </w:tc>
        <w:tc>
          <w:tcPr>
            <w:tcW w:w="15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第二层次公允价值计量</w:t>
            </w:r>
          </w:p>
        </w:tc>
        <w:tc>
          <w:tcPr>
            <w:tcW w:w="14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第三层次公允价值计量</w:t>
            </w:r>
          </w:p>
        </w:tc>
        <w:tc>
          <w:tcPr>
            <w:tcW w:w="15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一、持续的公允价值计量</w:t>
            </w:r>
          </w:p>
        </w:tc>
        <w:tc>
          <w:tcPr>
            <w:tcW w:w="15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5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4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5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（一）交易性金融资产</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131,495,916.67</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74,799,015.27</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206,294,931.94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1.以公允价值计量且其变动计入当期损益的金融资产</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131,495,916.67</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74,799,015.27</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206,294,931.94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（2）权益工具投资</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74,799,015.27</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74,799,015.27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（4）结构性存款及理财产品</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131,495,916.67</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（六）衍生金融资产</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1.套期工具</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（七）其他债权投资</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1.大额存单</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67,627,948.60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（九）其他权益工具投资</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383,317.67</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383,317.67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（十）被套期项目</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85,802,395.07</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85,802,395.07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持续以公允价值计量的资产总额</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86,100,715.07</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199,123,865.27</w:t>
            </w: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75,182,332.94</w:t>
            </w: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360,406,913.28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（七）指定为以公允价值计量且变动计入当期损益的金融负债</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（1）黄金租赁</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56,881,954.76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（八）衍生金融负债</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1.套期工具</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持续以公允价值计量的负债总额</w:t>
            </w:r>
          </w:p>
        </w:tc>
        <w:tc>
          <w:tcPr>
            <w:tcW w:w="15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56,883,334.76</w:t>
            </w:r>
          </w:p>
        </w:tc>
        <w:tc>
          <w:tcPr>
            <w:tcW w:w="15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5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56,883,334.76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6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二、非持续的公允价值计量</w:t>
            </w:r>
          </w:p>
        </w:tc>
        <w:tc>
          <w:tcPr>
            <w:tcW w:w="15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5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42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5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365" w:name="_Toc989255"/>
      <w:r>
        <w:rPr>
          <w:rFonts w:ascii="宋体" w:hAnsi="宋体" w:eastAsia="宋体" w:cs="宋体"/>
          <w:b/>
          <w:bCs/>
          <w:sz w:val="21"/>
          <w:szCs w:val="21"/>
        </w:rPr>
        <w:t>2、持续和非持续第一层次公允价值计量项目市价的确定依据</w:t>
      </w:r>
      <w:bookmarkEnd w:id="365"/>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第一层次：相同资产或负债在活跃市场中的报价（未经调整的）。</w:t>
      </w:r>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公司指定为以公允价值计量且其变动计入当期损益的金融负债为公司向银行租借黄金实物业务，黄金存在活跃市场（即上海黄金交易所），并且上海黄金交易所每个交易日均会公布黄金合约交易的收盘价格，公司期末以最后一个交易日上海黄金交易所公布的收盘价格作为市价确定依据。</w:t>
      </w:r>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本公司被套期项目系黄金产品库存，套期工具系公司持有黄金期货合约和黄金现货延期交收合约公允价值变动形成的资产/负债，本公司以上海黄金交易所、上海期货交易所的黄金现货交易和期货交易的公开报价为基础确定公允价值。</w:t>
      </w:r>
    </w:p>
    <w:p>
      <w:pPr>
        <w:keepNext/>
        <w:keepLines/>
        <w:spacing w:before="300" w:after="300" w:line="280" w:lineRule="exact"/>
        <w:jc w:val="left"/>
        <w:outlineLvl w:val="2"/>
        <w:rPr>
          <w:rFonts w:ascii="宋体" w:hAnsi="宋体" w:eastAsia="宋体" w:cs="宋体"/>
          <w:b/>
          <w:bCs/>
          <w:sz w:val="21"/>
          <w:szCs w:val="21"/>
        </w:rPr>
      </w:pPr>
      <w:bookmarkStart w:id="366" w:name="_Toc989256"/>
      <w:r>
        <w:rPr>
          <w:rFonts w:ascii="宋体" w:hAnsi="宋体" w:eastAsia="宋体" w:cs="宋体"/>
          <w:b/>
          <w:bCs/>
          <w:sz w:val="21"/>
          <w:szCs w:val="21"/>
        </w:rPr>
        <w:t>3、持续和非持续第二层次公允价值计量项目，采用的估值技术和重要参数的定性及定量信息</w:t>
      </w:r>
      <w:bookmarkEnd w:id="366"/>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第二层次：直接（即价格）或间接（即从价格推导出）地使用除第一层次中的资产或负债的市场报价之外的可观察输入值。</w:t>
      </w:r>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 xml:space="preserve">公司持有的交易性金融资产为一年期保本浮动收益的银行理财产品，其公允价值是采用约定的预期收益率计算的未来现金流量折现的方法来确定。公司持有的其他非流动金融资产的公允价值与账面成本之间无重大差异。 </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sz w:val="21"/>
          <w:szCs w:val="21"/>
        </w:rPr>
        <w:t>第二层次公允价值计量的相关信息</w:t>
      </w:r>
    </w:p>
    <w:tbl>
      <w:tblPr>
        <w:tblStyle w:val="9"/>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85"/>
        <w:gridCol w:w="1843"/>
        <w:gridCol w:w="2126"/>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985"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bookmarkStart w:id="367" w:name="jds453"/>
            <w:bookmarkEnd w:id="367"/>
            <w:r>
              <w:rPr>
                <w:rStyle w:val="11"/>
                <w:rFonts w:hint="eastAsia" w:ascii="宋体" w:hAnsi="宋体" w:eastAsia="宋体" w:cs="宋体"/>
                <w:b/>
                <w:bCs/>
                <w:sz w:val="21"/>
                <w:szCs w:val="21"/>
              </w:rPr>
              <w:t>内  容</w:t>
            </w:r>
          </w:p>
        </w:tc>
        <w:tc>
          <w:tcPr>
            <w:tcW w:w="1843"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sz w:val="21"/>
                <w:szCs w:val="21"/>
              </w:rPr>
              <w:t>期末公允价值</w:t>
            </w:r>
          </w:p>
        </w:tc>
        <w:tc>
          <w:tcPr>
            <w:tcW w:w="2126"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Style w:val="11"/>
                <w:rFonts w:hint="eastAsia" w:ascii="宋体" w:hAnsi="宋体" w:eastAsia="宋体" w:cs="宋体"/>
                <w:b/>
                <w:bCs/>
                <w:sz w:val="21"/>
                <w:szCs w:val="21"/>
              </w:rPr>
              <w:t>估值技术</w:t>
            </w:r>
          </w:p>
        </w:tc>
        <w:tc>
          <w:tcPr>
            <w:tcW w:w="3118"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b/>
                <w:bCs/>
                <w:sz w:val="21"/>
                <w:szCs w:val="21"/>
              </w:rPr>
              <w:t>输入值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98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衍生工具：</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 </w:t>
            </w:r>
          </w:p>
        </w:tc>
        <w:tc>
          <w:tcPr>
            <w:tcW w:w="212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cs="宋体"/>
                <w:sz w:val="21"/>
                <w:szCs w:val="21"/>
              </w:rPr>
              <w:t> </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cs="宋体"/>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98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衍生金融资产</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212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现金流量折现法</w:t>
            </w:r>
          </w:p>
        </w:tc>
        <w:tc>
          <w:tcPr>
            <w:tcW w:w="31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预期利率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98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衍生金融负债</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212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left"/>
              <w:rPr>
                <w:rFonts w:hint="eastAsia" w:ascii="宋体" w:hAnsi="宋体" w:cs="宋体"/>
                <w:sz w:val="21"/>
                <w:szCs w:val="21"/>
              </w:rPr>
            </w:pPr>
            <w:r>
              <w:rPr>
                <w:rFonts w:hint="eastAsia" w:ascii="宋体" w:hAnsi="宋体" w:eastAsia="宋体" w:cs="宋体"/>
                <w:sz w:val="21"/>
                <w:szCs w:val="21"/>
              </w:rPr>
              <w:t>现金流量折现法</w:t>
            </w:r>
          </w:p>
        </w:tc>
        <w:tc>
          <w:tcPr>
            <w:tcW w:w="31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预期利率</w:t>
            </w:r>
          </w:p>
        </w:tc>
      </w:tr>
    </w:tbl>
    <w:p>
      <w:pPr>
        <w:keepNext/>
        <w:keepLines/>
        <w:widowControl/>
        <w:suppressLineNumbers w:val="0"/>
        <w:spacing w:before="300" w:beforeAutospacing="0" w:after="300" w:afterAutospacing="0" w:line="280" w:lineRule="exact"/>
        <w:ind w:left="0" w:right="0"/>
        <w:jc w:val="left"/>
        <w:outlineLvl w:val="2"/>
        <w:rPr>
          <w:rFonts w:hint="default" w:ascii="Times New Roman" w:hAnsi="Times New Roman" w:cs="Times New Roman"/>
          <w:sz w:val="21"/>
          <w:szCs w:val="21"/>
        </w:rPr>
      </w:pPr>
      <w:bookmarkStart w:id="368" w:name="_Toc989257"/>
      <w:r>
        <w:rPr>
          <w:rFonts w:ascii="宋体" w:hAnsi="宋体" w:eastAsia="宋体" w:cs="宋体"/>
          <w:b/>
          <w:bCs/>
          <w:sz w:val="21"/>
          <w:szCs w:val="21"/>
        </w:rPr>
        <w:t>4、持续和非持续第三层次公允价值计量项目，采用的估值技术和重要参数的定性及定量信息</w:t>
      </w:r>
      <w:bookmarkEnd w:id="368"/>
      <w:r>
        <w:rPr>
          <w:rFonts w:ascii="仿宋_GB2312" w:hAnsi="Times New Roman" w:eastAsia="仿宋_GB2312" w:cs="仿宋_GB2312"/>
          <w:sz w:val="24"/>
          <w:szCs w:val="24"/>
        </w:rPr>
        <w:br w:type="textWrapping"/>
      </w:r>
      <w:r>
        <w:rPr>
          <w:rFonts w:hint="default" w:ascii="仿宋_GB2312" w:hAnsi="Times New Roman" w:eastAsia="仿宋_GB2312" w:cs="仿宋_GB2312"/>
          <w:sz w:val="24"/>
          <w:szCs w:val="24"/>
        </w:rPr>
        <w:t> </w:t>
      </w:r>
    </w:p>
    <w:p>
      <w:pPr>
        <w:keepNext/>
        <w:keepLines/>
        <w:spacing w:before="300" w:after="300" w:line="280" w:lineRule="exact"/>
        <w:jc w:val="left"/>
        <w:outlineLvl w:val="2"/>
        <w:rPr>
          <w:rFonts w:ascii="宋体" w:hAnsi="宋体" w:eastAsia="宋体" w:cs="宋体"/>
          <w:b/>
          <w:bCs/>
          <w:sz w:val="21"/>
          <w:szCs w:val="21"/>
        </w:rPr>
      </w:pPr>
      <w:bookmarkStart w:id="369" w:name="_Toc989258"/>
      <w:r>
        <w:rPr>
          <w:rFonts w:ascii="宋体" w:hAnsi="宋体" w:eastAsia="宋体" w:cs="宋体"/>
          <w:b/>
          <w:bCs/>
          <w:sz w:val="21"/>
          <w:szCs w:val="21"/>
        </w:rPr>
        <w:t>5、持续的第三层次公允价值计量项目，期初与期末账面价值间的调节信息及不可观察参数敏感性分析</w:t>
      </w:r>
      <w:bookmarkEnd w:id="369"/>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第三层次：资产或负债使用了任何非基于可观察市场数据的输入值（不可观察输入值）。</w:t>
      </w:r>
    </w:p>
    <w:p>
      <w:pPr>
        <w:pStyle w:val="8"/>
        <w:keepNext w:val="0"/>
        <w:keepLines w:val="0"/>
        <w:widowControl/>
        <w:suppressLineNumbers w:val="0"/>
        <w:spacing w:before="0" w:beforeAutospacing="0" w:after="216" w:afterAutospacing="0"/>
        <w:ind w:left="0" w:right="0"/>
        <w:jc w:val="left"/>
        <w:rPr>
          <w:rFonts w:hint="eastAsia" w:ascii="宋体" w:hAnsi="宋体" w:cs="宋体"/>
          <w:sz w:val="21"/>
          <w:szCs w:val="21"/>
        </w:rPr>
      </w:pPr>
      <w:r>
        <w:rPr>
          <w:rFonts w:hint="eastAsia" w:ascii="宋体" w:hAnsi="宋体" w:eastAsia="宋体" w:cs="宋体"/>
          <w:sz w:val="21"/>
          <w:szCs w:val="21"/>
        </w:rPr>
        <w:t>权益工具投资因被投资企业中国浦发机械工业股份有限公司的经营环境和经营情况、财务状况未发生重大变化，所以公司按投资成本作为公允价值的合理估计进行计量。</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sz w:val="21"/>
          <w:szCs w:val="21"/>
        </w:rPr>
        <w:t>第三层次公允价值计量中使用的重要的不可观察输入值的量化信息</w:t>
      </w:r>
    </w:p>
    <w:tbl>
      <w:tblPr>
        <w:tblStyle w:val="9"/>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49"/>
        <w:gridCol w:w="1558"/>
        <w:gridCol w:w="1417"/>
        <w:gridCol w:w="2266"/>
        <w:gridCol w:w="20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trPr>
        <w:tc>
          <w:tcPr>
            <w:tcW w:w="19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sz w:val="21"/>
                <w:szCs w:val="21"/>
              </w:rPr>
              <w:t>内  容</w:t>
            </w:r>
          </w:p>
        </w:tc>
        <w:tc>
          <w:tcPr>
            <w:tcW w:w="15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期末公允价值</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估值技术</w:t>
            </w:r>
          </w:p>
        </w:tc>
        <w:tc>
          <w:tcPr>
            <w:tcW w:w="22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不可观察输入值</w:t>
            </w:r>
          </w:p>
        </w:tc>
        <w:tc>
          <w:tcPr>
            <w:tcW w:w="209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center"/>
              <w:rPr>
                <w:rFonts w:hint="eastAsia" w:ascii="宋体" w:hAnsi="宋体" w:cs="宋体"/>
                <w:sz w:val="21"/>
                <w:szCs w:val="21"/>
              </w:rPr>
            </w:pPr>
            <w:r>
              <w:rPr>
                <w:rStyle w:val="11"/>
                <w:rFonts w:hint="eastAsia" w:ascii="宋体" w:hAnsi="宋体" w:eastAsia="宋体" w:cs="宋体"/>
                <w:sz w:val="21"/>
                <w:szCs w:val="21"/>
              </w:rPr>
              <w:t>范围（加权平均值）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trPr>
        <w:tc>
          <w:tcPr>
            <w:tcW w:w="19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权益工具投资：</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 </w:t>
            </w:r>
          </w:p>
        </w:tc>
        <w:tc>
          <w:tcPr>
            <w:tcW w:w="22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 </w:t>
            </w:r>
          </w:p>
        </w:tc>
        <w:tc>
          <w:tcPr>
            <w:tcW w:w="20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19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非上市股权投资</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 </w:t>
            </w:r>
          </w:p>
        </w:tc>
        <w:tc>
          <w:tcPr>
            <w:tcW w:w="22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 </w:t>
            </w:r>
          </w:p>
        </w:tc>
        <w:tc>
          <w:tcPr>
            <w:tcW w:w="20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19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cs="宋体"/>
                <w:sz w:val="21"/>
                <w:szCs w:val="21"/>
              </w:rPr>
            </w:pPr>
          </w:p>
        </w:tc>
        <w:tc>
          <w:tcPr>
            <w:tcW w:w="155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383,317.67</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净资产</w:t>
            </w:r>
          </w:p>
        </w:tc>
        <w:tc>
          <w:tcPr>
            <w:tcW w:w="22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不适用</w:t>
            </w:r>
          </w:p>
        </w:tc>
        <w:tc>
          <w:tcPr>
            <w:tcW w:w="20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不适用</w:t>
            </w:r>
          </w:p>
        </w:tc>
      </w:tr>
    </w:tbl>
    <w:p>
      <w:pPr>
        <w:keepNext/>
        <w:keepLines/>
        <w:spacing w:before="300" w:after="300" w:line="280" w:lineRule="exact"/>
        <w:jc w:val="left"/>
        <w:outlineLvl w:val="2"/>
        <w:rPr>
          <w:rFonts w:ascii="宋体" w:hAnsi="宋体" w:eastAsia="宋体" w:cs="宋体"/>
          <w:b/>
          <w:bCs/>
          <w:sz w:val="21"/>
          <w:szCs w:val="21"/>
        </w:rPr>
      </w:pPr>
      <w:bookmarkStart w:id="370" w:name="_Toc989259"/>
      <w:r>
        <w:rPr>
          <w:rFonts w:ascii="宋体" w:hAnsi="宋体" w:eastAsia="宋体" w:cs="宋体"/>
          <w:b/>
          <w:bCs/>
          <w:sz w:val="21"/>
          <w:szCs w:val="21"/>
        </w:rPr>
        <w:t>6、持续的公允价值计量项目，本期内发生各层级之间转换的，转换的原因及确定转换时点的政策</w:t>
      </w:r>
      <w:bookmarkEnd w:id="370"/>
    </w:p>
    <w:p>
      <w:pPr>
        <w:pStyle w:val="8"/>
        <w:keepNext w:val="0"/>
        <w:keepLines w:val="0"/>
        <w:widowControl/>
        <w:suppressLineNumbers w:val="0"/>
        <w:spacing w:before="120" w:beforeAutospacing="0" w:after="216"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本年度，本公司的金融资产及金融负债的公允价值计量未发生第一层次和第二层次之间的转换，亦无转入或转出第三层次的情况。</w:t>
      </w:r>
    </w:p>
    <w:p>
      <w:pPr>
        <w:pStyle w:val="8"/>
        <w:keepNext w:val="0"/>
        <w:keepLines w:val="0"/>
        <w:widowControl/>
        <w:suppressLineNumbers w:val="0"/>
        <w:spacing w:before="120" w:beforeAutospacing="0" w:after="216" w:afterAutospacing="0"/>
        <w:ind w:left="0" w:right="0"/>
        <w:jc w:val="left"/>
        <w:rPr>
          <w:rFonts w:hint="eastAsia" w:ascii="宋体" w:hAnsi="宋体" w:cs="宋体"/>
          <w:sz w:val="21"/>
          <w:szCs w:val="21"/>
        </w:rPr>
      </w:pPr>
      <w:r>
        <w:rPr>
          <w:rFonts w:hint="eastAsia" w:ascii="宋体" w:hAnsi="宋体" w:eastAsia="宋体" w:cs="宋体"/>
          <w:color w:val="000000"/>
          <w:sz w:val="21"/>
          <w:szCs w:val="21"/>
        </w:rPr>
        <w:t>对于在活跃市场上交易的金融工具，本公司以其活跃市场报价确定其公允价值；对于不在活跃市场上交易的金融工具，本公司采用估值技术确定其公允价值。所使用的估值模型主要为现金流量折现模型和市场可比公司模型等。估值技术的输入值主要包括无风险利率、基准利率、汇率、信用点差、流动性溢价、缺乏流动性折扣等。</w:t>
      </w:r>
    </w:p>
    <w:p>
      <w:pPr>
        <w:keepNext/>
        <w:keepLines/>
        <w:spacing w:before="300" w:after="300" w:line="320" w:lineRule="exact"/>
        <w:jc w:val="left"/>
        <w:outlineLvl w:val="1"/>
        <w:rPr>
          <w:rFonts w:ascii="宋体" w:hAnsi="宋体" w:eastAsia="宋体" w:cs="宋体"/>
          <w:b/>
          <w:bCs/>
          <w:sz w:val="24"/>
          <w:szCs w:val="24"/>
        </w:rPr>
      </w:pPr>
      <w:bookmarkStart w:id="371" w:name="_Toc989260"/>
      <w:r>
        <w:rPr>
          <w:rFonts w:ascii="宋体" w:hAnsi="宋体" w:eastAsia="宋体" w:cs="宋体"/>
          <w:b/>
          <w:bCs/>
          <w:sz w:val="24"/>
          <w:szCs w:val="24"/>
        </w:rPr>
        <w:t>十三、关联方及关联交易</w:t>
      </w:r>
      <w:bookmarkEnd w:id="371"/>
    </w:p>
    <w:p>
      <w:pPr>
        <w:keepNext/>
        <w:keepLines/>
        <w:spacing w:before="300" w:after="300" w:line="280" w:lineRule="exact"/>
        <w:jc w:val="left"/>
        <w:outlineLvl w:val="2"/>
        <w:rPr>
          <w:rFonts w:ascii="宋体" w:hAnsi="宋体" w:eastAsia="宋体" w:cs="宋体"/>
          <w:b/>
          <w:bCs/>
          <w:sz w:val="21"/>
          <w:szCs w:val="21"/>
        </w:rPr>
      </w:pPr>
      <w:bookmarkStart w:id="372" w:name="_Toc989261"/>
      <w:r>
        <w:rPr>
          <w:rFonts w:ascii="宋体" w:hAnsi="宋体" w:eastAsia="宋体" w:cs="宋体"/>
          <w:b/>
          <w:bCs/>
          <w:sz w:val="21"/>
          <w:szCs w:val="21"/>
        </w:rPr>
        <w:t>1、本企业的母公司情况</w:t>
      </w:r>
      <w:bookmarkEnd w:id="372"/>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母公司对本企业的持股比例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母公司对本企业的表决权比例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房地产开发经营、国内商业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617,940.60万元</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本企业的母公司情况的说明</w:t>
      </w:r>
    </w:p>
    <w:p>
      <w:pPr>
        <w:pStyle w:val="8"/>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深圳市特发集团有限公司（以下简称“特发集团”）系由深圳市人民政府国有资产监督管理委员会投资，于 198</w:t>
      </w:r>
      <w:r>
        <w:rPr>
          <w:rFonts w:hint="eastAsia" w:ascii="宋体" w:hAnsi="宋体" w:cs="宋体"/>
          <w:sz w:val="21"/>
          <w:szCs w:val="21"/>
          <w:lang w:val="en-US" w:eastAsia="zh-CN"/>
        </w:rPr>
        <w:t>2</w:t>
      </w:r>
      <w:r>
        <w:rPr>
          <w:rFonts w:hint="eastAsia" w:ascii="宋体" w:hAnsi="宋体" w:eastAsia="宋体" w:cs="宋体"/>
          <w:sz w:val="21"/>
          <w:szCs w:val="21"/>
        </w:rPr>
        <w:t xml:space="preserve">年 </w:t>
      </w:r>
      <w:r>
        <w:rPr>
          <w:rFonts w:hint="eastAsia" w:ascii="宋体" w:hAnsi="宋体" w:cs="宋体"/>
          <w:sz w:val="21"/>
          <w:szCs w:val="21"/>
          <w:lang w:val="en-US" w:eastAsia="zh-CN"/>
        </w:rPr>
        <w:t>6</w:t>
      </w:r>
      <w:r>
        <w:rPr>
          <w:rFonts w:hint="eastAsia" w:ascii="宋体" w:hAnsi="宋体" w:eastAsia="宋体" w:cs="宋体"/>
          <w:sz w:val="21"/>
          <w:szCs w:val="21"/>
        </w:rPr>
        <w:t xml:space="preserve"> 月 </w:t>
      </w:r>
      <w:r>
        <w:rPr>
          <w:rFonts w:hint="eastAsia" w:ascii="宋体" w:hAnsi="宋体" w:cs="宋体"/>
          <w:sz w:val="21"/>
          <w:szCs w:val="21"/>
          <w:lang w:val="en-US" w:eastAsia="zh-CN"/>
        </w:rPr>
        <w:t>20</w:t>
      </w:r>
      <w:r>
        <w:rPr>
          <w:rFonts w:hint="eastAsia" w:ascii="宋体" w:hAnsi="宋体" w:eastAsia="宋体" w:cs="宋体"/>
          <w:sz w:val="21"/>
          <w:szCs w:val="21"/>
        </w:rPr>
        <w:t xml:space="preserve"> 日成立，公司现持有统一社会信用代91440300192194195C的营业执照，注册资本 </w:t>
      </w:r>
      <w:r>
        <w:rPr>
          <w:rFonts w:hint="eastAsia" w:ascii="宋体" w:hAnsi="宋体" w:eastAsia="宋体" w:cs="宋体"/>
          <w:color w:val="333333"/>
          <w:sz w:val="21"/>
          <w:szCs w:val="21"/>
          <w:shd w:val="clear" w:fill="FFFFFF"/>
        </w:rPr>
        <w:t>617,940.60万元</w:t>
      </w:r>
      <w:r>
        <w:rPr>
          <w:rFonts w:hint="eastAsia" w:ascii="宋体" w:hAnsi="宋体" w:eastAsia="宋体" w:cs="宋体"/>
          <w:sz w:val="21"/>
          <w:szCs w:val="21"/>
        </w:rPr>
        <w:t>。特发集团对本公司的表决权比例与持股比例不一致原因是特发集团开展转融通证券出借业务所致。</w:t>
      </w:r>
      <w:r>
        <w:rPr>
          <w:rFonts w:hint="eastAsia" w:ascii="宋体" w:hAnsi="宋体" w:eastAsia="宋体" w:cs="宋体"/>
          <w:color w:val="000000"/>
          <w:sz w:val="21"/>
          <w:szCs w:val="21"/>
        </w:rPr>
        <w:t> </w:t>
      </w:r>
    </w:p>
    <w:p>
      <w:pPr>
        <w:spacing w:before="100" w:after="100" w:line="240" w:lineRule="exact"/>
        <w:jc w:val="left"/>
        <w:rPr>
          <w:rFonts w:ascii="宋体" w:hAnsi="宋体" w:eastAsia="宋体" w:cs="宋体"/>
          <w:sz w:val="21"/>
          <w:szCs w:val="21"/>
        </w:rPr>
      </w:pPr>
      <w:r>
        <w:rPr>
          <w:rFonts w:ascii="宋体" w:hAnsi="宋体" w:eastAsia="宋体" w:cs="宋体"/>
          <w:sz w:val="21"/>
          <w:szCs w:val="21"/>
        </w:rPr>
        <w:t>本企业最终控制方是深圳市人民政府国有资产监督管理委员会。</w:t>
      </w:r>
    </w:p>
    <w:p>
      <w:pPr>
        <w:keepNext/>
        <w:keepLines/>
        <w:spacing w:before="300" w:after="300" w:line="280" w:lineRule="exact"/>
        <w:jc w:val="left"/>
        <w:outlineLvl w:val="2"/>
        <w:rPr>
          <w:rFonts w:ascii="宋体" w:hAnsi="宋体" w:eastAsia="宋体" w:cs="宋体"/>
          <w:b/>
          <w:bCs/>
          <w:sz w:val="21"/>
          <w:szCs w:val="21"/>
        </w:rPr>
      </w:pPr>
      <w:bookmarkStart w:id="373" w:name="_Toc989262"/>
      <w:r>
        <w:rPr>
          <w:rFonts w:ascii="宋体" w:hAnsi="宋体" w:eastAsia="宋体" w:cs="宋体"/>
          <w:b/>
          <w:bCs/>
          <w:sz w:val="21"/>
          <w:szCs w:val="21"/>
        </w:rPr>
        <w:t>2、本企业的子公司情况</w:t>
      </w:r>
      <w:bookmarkEnd w:id="373"/>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本企业子公司的情况详见附注九、1。</w:t>
      </w:r>
    </w:p>
    <w:p>
      <w:pPr>
        <w:keepNext/>
        <w:keepLines/>
        <w:spacing w:before="300" w:after="300" w:line="280" w:lineRule="exact"/>
        <w:jc w:val="left"/>
        <w:outlineLvl w:val="2"/>
        <w:rPr>
          <w:rFonts w:ascii="宋体" w:hAnsi="宋体" w:eastAsia="宋体" w:cs="宋体"/>
          <w:b/>
          <w:bCs/>
          <w:sz w:val="21"/>
          <w:szCs w:val="21"/>
        </w:rPr>
      </w:pPr>
      <w:bookmarkStart w:id="374" w:name="_Toc989263"/>
      <w:r>
        <w:rPr>
          <w:rFonts w:ascii="宋体" w:hAnsi="宋体" w:eastAsia="宋体" w:cs="宋体"/>
          <w:b/>
          <w:bCs/>
          <w:sz w:val="21"/>
          <w:szCs w:val="21"/>
        </w:rPr>
        <w:t>3、本企业合营和联营企业情况</w:t>
      </w:r>
      <w:bookmarkEnd w:id="374"/>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本企业重要的合营或联营企业详见附注九、2。</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本期与本公司发生关联方交易，或前期与本公司发生关联方交易形成余额的其他合营或联营企业情况如下：</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合营或联营企业名称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深圳市特力新永通汽车服务有限公司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联营公司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联营公司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联营公司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深圳市先导新材料有限公司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联营公司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深圳市特力行投资有限公司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合营公司</w:t>
            </w:r>
          </w:p>
        </w:tc>
      </w:tr>
    </w:tbl>
    <w:p>
      <w:pPr>
        <w:keepNext/>
        <w:keepLines/>
        <w:spacing w:before="300" w:after="300" w:line="280" w:lineRule="exact"/>
        <w:jc w:val="left"/>
        <w:outlineLvl w:val="2"/>
        <w:rPr>
          <w:rFonts w:ascii="宋体" w:hAnsi="宋体" w:eastAsia="宋体" w:cs="宋体"/>
          <w:b/>
          <w:bCs/>
          <w:sz w:val="21"/>
          <w:szCs w:val="21"/>
        </w:rPr>
      </w:pPr>
      <w:bookmarkStart w:id="375" w:name="_Toc989264"/>
      <w:r>
        <w:rPr>
          <w:rFonts w:ascii="宋体" w:hAnsi="宋体" w:eastAsia="宋体" w:cs="宋体"/>
          <w:b/>
          <w:bCs/>
          <w:sz w:val="21"/>
          <w:szCs w:val="21"/>
        </w:rPr>
        <w:t>4、其他关联方情况</w:t>
      </w:r>
      <w:bookmarkEnd w:id="375"/>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深圳市特发天鹅实业公司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深圳市机械设备进出口公司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深圳市特发地产有限公司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香港裕嘉投资有限公司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深圳市特力阳春房地产公司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深圳龙岗特力房地产公司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母公司的控股子公司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深圳华丽装修家私企业公司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w:t>
            </w:r>
            <w:r>
              <w:rPr>
                <w:rFonts w:ascii="宋体" w:hAnsi="宋体" w:eastAsia="宋体" w:cs="宋体"/>
                <w:sz w:val="18"/>
                <w:szCs w:val="18"/>
              </w:rPr>
              <w:t>母公司的联营公司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谷志明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关键管理人员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关键管理人员施加重大影响的企业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深圳市众恒隆实业有限公司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重要子公司少数股东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深圳纽比思珠宝贸易有限公司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重要子公司少数股东控制的企业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重要子公司少数股东控制的企业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深圳市粤鹏金电商有限公司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重要子公司少数股东控制的企业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国任财产保险股份有限公司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本公司母公司的母公司的</w:t>
            </w:r>
            <w:r>
              <w:rPr>
                <w:rFonts w:ascii="宋体" w:hAnsi="宋体" w:eastAsia="宋体" w:cs="宋体"/>
                <w:sz w:val="18"/>
                <w:szCs w:val="18"/>
              </w:rPr>
              <w:t>控制子公司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深圳特发华日汽车企业有限公司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12个月内曾控制的子公司</w:t>
            </w:r>
          </w:p>
        </w:tc>
      </w:tr>
    </w:tbl>
    <w:p>
      <w:pPr>
        <w:keepNext/>
        <w:keepLines/>
        <w:spacing w:before="300" w:after="300" w:line="280" w:lineRule="exact"/>
        <w:jc w:val="left"/>
        <w:outlineLvl w:val="2"/>
        <w:rPr>
          <w:rFonts w:ascii="宋体" w:hAnsi="宋体" w:eastAsia="宋体" w:cs="宋体"/>
          <w:b/>
          <w:bCs/>
          <w:sz w:val="21"/>
          <w:szCs w:val="21"/>
        </w:rPr>
      </w:pPr>
      <w:bookmarkStart w:id="376" w:name="_Toc989265"/>
      <w:r>
        <w:rPr>
          <w:rFonts w:ascii="宋体" w:hAnsi="宋体" w:eastAsia="宋体" w:cs="宋体"/>
          <w:b/>
          <w:bCs/>
          <w:sz w:val="21"/>
          <w:szCs w:val="21"/>
        </w:rPr>
        <w:t>5、关联交易情况</w:t>
      </w:r>
      <w:bookmarkEnd w:id="376"/>
    </w:p>
    <w:p>
      <w:pPr>
        <w:keepNext/>
        <w:keepLines/>
        <w:spacing w:before="300" w:after="300" w:line="280" w:lineRule="exact"/>
        <w:jc w:val="left"/>
        <w:outlineLvl w:val="3"/>
        <w:rPr>
          <w:rFonts w:ascii="宋体" w:hAnsi="宋体" w:eastAsia="宋体" w:cs="宋体"/>
          <w:b/>
          <w:bCs/>
          <w:sz w:val="21"/>
          <w:szCs w:val="21"/>
        </w:rPr>
      </w:pPr>
      <w:bookmarkStart w:id="377" w:name="_Toc989266"/>
      <w:r>
        <w:rPr>
          <w:rFonts w:ascii="宋体" w:hAnsi="宋体" w:eastAsia="宋体" w:cs="宋体"/>
          <w:b/>
          <w:bCs/>
          <w:sz w:val="21"/>
          <w:szCs w:val="21"/>
        </w:rPr>
        <w:t>（1） 购销商品、提供和接受劳务的关联交易</w:t>
      </w:r>
      <w:bookmarkEnd w:id="377"/>
    </w:p>
    <w:p>
      <w:pPr>
        <w:spacing w:before="100" w:after="100" w:line="240" w:lineRule="exact"/>
        <w:jc w:val="left"/>
        <w:rPr>
          <w:rFonts w:ascii="宋体" w:hAnsi="宋体" w:eastAsia="宋体" w:cs="宋体"/>
          <w:sz w:val="18"/>
          <w:szCs w:val="18"/>
        </w:rPr>
      </w:pPr>
      <w:r>
        <w:rPr>
          <w:rFonts w:ascii="宋体" w:hAnsi="宋体" w:eastAsia="宋体" w:cs="宋体"/>
          <w:sz w:val="18"/>
          <w:szCs w:val="18"/>
        </w:rPr>
        <w:t>采购商品/接受劳务情况表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082"/>
        <w:gridCol w:w="1166"/>
        <w:gridCol w:w="1576"/>
        <w:gridCol w:w="1470"/>
        <w:gridCol w:w="880"/>
        <w:gridCol w:w="14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16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15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4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获批的交易额度</w:t>
            </w:r>
          </w:p>
        </w:tc>
        <w:tc>
          <w:tcPr>
            <w:tcW w:w="8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是否超过交易额度</w:t>
            </w:r>
          </w:p>
        </w:tc>
        <w:tc>
          <w:tcPr>
            <w:tcW w:w="1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接受劳务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16,915,283.92</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18,160,000.00</w:t>
            </w: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10,354,683.50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接受劳务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2,130,623.04</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3,400,000.00</w:t>
            </w: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3,148,143.25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深圳市众恒隆实业有限公司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接受劳务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3,023,066.13</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1,032,213.33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采购商品</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56,492.11</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16,814.16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接受劳务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173,547.82</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631,540.56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接受劳务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1,314,123.15</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w:t>
            </w: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2,384,060.38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软件使用费</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990,566.01</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08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国任财产保险股份有限公司</w:t>
            </w:r>
          </w:p>
        </w:tc>
        <w:tc>
          <w:tcPr>
            <w:tcW w:w="11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采购服务</w:t>
            </w:r>
          </w:p>
        </w:tc>
        <w:tc>
          <w:tcPr>
            <w:tcW w:w="15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414,886.00</w:t>
            </w:r>
          </w:p>
        </w:tc>
        <w:tc>
          <w:tcPr>
            <w:tcW w:w="147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cs="宋体"/>
                <w:sz w:val="18"/>
                <w:szCs w:val="18"/>
                <w:lang w:val="en-US" w:eastAsia="zh-CN"/>
              </w:rPr>
              <w:t>否</w:t>
            </w:r>
          </w:p>
        </w:tc>
        <w:tc>
          <w:tcPr>
            <w:tcW w:w="1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出售商品/提供劳务情况表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51"/>
        <w:gridCol w:w="2143"/>
        <w:gridCol w:w="1636"/>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1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16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北京菜市口百货股份有限公司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销售商品</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2,832,890.26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深圳纽比思珠宝贸易有限公司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2,615,621.84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1,309,102.16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深圳市众恒隆实业有限公司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274,809.68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深圳粤鹏金电商有限公司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销售商品</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105,249,451.43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26,848,858.40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3,251,252.21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8,500.10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161,205.24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202,126.23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368,035.44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566.04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5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深圳市众明隆投资有限公司</w:t>
            </w:r>
          </w:p>
        </w:tc>
        <w:tc>
          <w:tcPr>
            <w:tcW w:w="21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提供劳务</w:t>
            </w:r>
          </w:p>
        </w:tc>
        <w:tc>
          <w:tcPr>
            <w:tcW w:w="163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8,490.60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378" w:name="_Toc989267"/>
      <w:r>
        <w:rPr>
          <w:rFonts w:ascii="宋体" w:hAnsi="宋体" w:eastAsia="宋体" w:cs="宋体"/>
          <w:b/>
          <w:bCs/>
          <w:sz w:val="21"/>
          <w:szCs w:val="21"/>
        </w:rPr>
        <w:t>（2） 关联租赁情况</w:t>
      </w:r>
      <w:bookmarkEnd w:id="378"/>
    </w:p>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本公司作为出租方：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9"/>
        <w:gridCol w:w="1411"/>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承租方名称</w:t>
            </w:r>
          </w:p>
        </w:tc>
        <w:tc>
          <w:tcPr>
            <w:tcW w:w="14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租赁资产种类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本期确认的租赁收入</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上期确认的租赁收入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5,190,476.11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5,190,476.19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99,521.16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1,962,815.40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158,518.11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38,262.91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1,020,346.44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1,069,279.56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32,000.04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1,886,387.76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7,428.58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深圳市众明隆投资有限公司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52,231.80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4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14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广告位租赁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15,428.57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379" w:name="_Toc989268"/>
      <w:r>
        <w:rPr>
          <w:rFonts w:ascii="宋体" w:hAnsi="宋体" w:eastAsia="宋体" w:cs="宋体"/>
          <w:b/>
          <w:bCs/>
          <w:sz w:val="21"/>
          <w:szCs w:val="21"/>
        </w:rPr>
        <w:t>（3） 关键管理人员报酬</w:t>
      </w:r>
      <w:bookmarkEnd w:id="3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关键管理人员薪酬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5,756,900.00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8,381,400.00</w:t>
            </w:r>
          </w:p>
        </w:tc>
      </w:tr>
    </w:tbl>
    <w:p>
      <w:pPr>
        <w:keepNext/>
        <w:keepLines/>
        <w:spacing w:before="300" w:after="300" w:line="280" w:lineRule="exact"/>
        <w:jc w:val="left"/>
        <w:outlineLvl w:val="2"/>
        <w:rPr>
          <w:rFonts w:ascii="宋体" w:hAnsi="宋体" w:eastAsia="宋体" w:cs="宋体"/>
          <w:b/>
          <w:bCs/>
          <w:sz w:val="21"/>
          <w:szCs w:val="21"/>
        </w:rPr>
      </w:pPr>
      <w:bookmarkStart w:id="380" w:name="_Toc989269"/>
      <w:r>
        <w:rPr>
          <w:rFonts w:ascii="宋体" w:hAnsi="宋体" w:eastAsia="宋体" w:cs="宋体"/>
          <w:b/>
          <w:bCs/>
          <w:sz w:val="21"/>
          <w:szCs w:val="21"/>
        </w:rPr>
        <w:t>6、关联方应收应付款项</w:t>
      </w:r>
      <w:bookmarkEnd w:id="380"/>
    </w:p>
    <w:p>
      <w:pPr>
        <w:keepNext/>
        <w:keepLines/>
        <w:spacing w:before="300" w:after="300" w:line="280" w:lineRule="exact"/>
        <w:jc w:val="left"/>
        <w:outlineLvl w:val="3"/>
        <w:rPr>
          <w:rFonts w:ascii="宋体" w:hAnsi="宋体" w:eastAsia="宋体" w:cs="宋体"/>
          <w:b/>
          <w:bCs/>
          <w:sz w:val="21"/>
          <w:szCs w:val="21"/>
        </w:rPr>
      </w:pPr>
      <w:bookmarkStart w:id="381" w:name="_Toc989270"/>
      <w:r>
        <w:rPr>
          <w:rFonts w:ascii="宋体" w:hAnsi="宋体" w:eastAsia="宋体" w:cs="宋体"/>
          <w:b/>
          <w:bCs/>
          <w:sz w:val="21"/>
          <w:szCs w:val="21"/>
        </w:rPr>
        <w:t>（1） 应收项目</w:t>
      </w:r>
      <w:bookmarkEnd w:id="38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10080" w:type="dxa"/>
        <w:tblInd w:w="-23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45"/>
        <w:gridCol w:w="3315"/>
        <w:gridCol w:w="1365"/>
        <w:gridCol w:w="1425"/>
        <w:gridCol w:w="1395"/>
        <w:gridCol w:w="13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331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79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273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31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北京菜市口百货股份有限公司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656,267.50</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6,562.68</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深圳纽比思珠宝贸易有限公司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246,015.46</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2,460.15</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666,979.53</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6,669.80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127.66</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5,362.00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142,112.35</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1,421.12</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355,565.61</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3,555.66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1,401,995.50</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14,019.96</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预付账款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21,226.42</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6,900.00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深圳市特发特力电子有限公司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23,852.64</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23,852.64</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23,852.64</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23,852.64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1,360,390.00</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1,360,390.00</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1,360,390.00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1,360,390.00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深圳市先导新材料有限公司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660,790.09</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660,790.09</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660,790.09</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660,790.09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深圳市特力新永通汽车服务有限公司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114,776.33</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114,776.33</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114,776.33</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114,776.33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深圳市特发黎明光电（集团）有限公司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2,886.00</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2,886.00</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2,886.00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33,318.36</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1,473.18</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16,959.19</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531,882.24</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531,882.24</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531,882.24</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531,882.24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深圳市特力行投资有限公司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259,566.39</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2,595.66</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37,608.61</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深圳市众恒隆实业有限公司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2,607,443.00</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26,074.43</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长期应收款</w:t>
            </w:r>
          </w:p>
        </w:tc>
        <w:tc>
          <w:tcPr>
            <w:tcW w:w="33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13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9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c>
          <w:tcPr>
            <w:tcW w:w="13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6,146,228.91</w:t>
            </w:r>
          </w:p>
        </w:tc>
      </w:tr>
    </w:tbl>
    <w:p>
      <w:pPr>
        <w:keepNext/>
        <w:keepLines/>
        <w:spacing w:before="300" w:after="300" w:line="280" w:lineRule="exact"/>
        <w:jc w:val="left"/>
        <w:outlineLvl w:val="3"/>
        <w:rPr>
          <w:rFonts w:ascii="宋体" w:hAnsi="宋体" w:eastAsia="宋体" w:cs="宋体"/>
          <w:b/>
          <w:bCs/>
          <w:sz w:val="21"/>
          <w:szCs w:val="21"/>
        </w:rPr>
      </w:pPr>
      <w:bookmarkStart w:id="382" w:name="_Toc989271"/>
      <w:r>
        <w:rPr>
          <w:rFonts w:ascii="宋体" w:hAnsi="宋体" w:eastAsia="宋体" w:cs="宋体"/>
          <w:b/>
          <w:bCs/>
          <w:sz w:val="21"/>
          <w:szCs w:val="21"/>
        </w:rPr>
        <w:t>（2） 应付项目</w:t>
      </w:r>
      <w:bookmarkEnd w:id="3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94"/>
        <w:gridCol w:w="3780"/>
        <w:gridCol w:w="1856"/>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37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深圳市特发地产有限公司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6,054,855.46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6,054,855.46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深圳市机械设备进出口公司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45,300.00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336,533.57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336,533.57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深圳市众恒隆实业有限公司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212,993.43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235,873.17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深圳市粤鹏金珠宝金行有限公司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20,680.00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深圳华丽装修家私企业公司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334,493.34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432,712.27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3,368,791.51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1,654,014.40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2,568,038.46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深圳市智谷金云科技有限公司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53,714.23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预收款项</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21,226.42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深圳市特发小额贷款有限公司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237,804.66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237,804.66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深圳市特发服务股份有限公司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40,992.00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25,596.00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深圳火炬火花塞工业公司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深圳市永通信达检测设备有限责任公司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5,602.99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5,602.99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833,334.00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833,334.00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深圳市特发特力物业管理有限公司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15,841.59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145,043.21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深圳市特发集团有限公司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12,345,594.94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深圳市特力阳春房地产公司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476,217.49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476,217.49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深圳市机械设备进出口公司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1,554,196.80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1,575,452.52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深圳华丽装修家私企业公司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401,140.08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16,933.72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深圳市特发工程管理有限责任公司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149,338.46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深圳特发华日汽车企业有限公司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11,436,392.71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香港裕嘉投资有限公司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2,146,404.58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2,164,650.90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深圳市特发天鹅实业公司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23,930.50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28,766.05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5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7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深圳龙岗特力房地产公司</w:t>
            </w:r>
          </w:p>
        </w:tc>
        <w:tc>
          <w:tcPr>
            <w:tcW w:w="185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1,095,742.50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1,095,742.50</w:t>
            </w:r>
          </w:p>
        </w:tc>
      </w:tr>
    </w:tbl>
    <w:p>
      <w:pPr>
        <w:keepNext/>
        <w:keepLines/>
        <w:spacing w:before="300" w:after="300" w:line="320" w:lineRule="exact"/>
        <w:jc w:val="left"/>
        <w:outlineLvl w:val="1"/>
        <w:rPr>
          <w:rFonts w:ascii="宋体" w:hAnsi="宋体" w:eastAsia="宋体" w:cs="宋体"/>
          <w:b/>
          <w:bCs/>
          <w:sz w:val="24"/>
          <w:szCs w:val="24"/>
        </w:rPr>
      </w:pPr>
      <w:bookmarkStart w:id="383" w:name="_Toc989272"/>
      <w:r>
        <w:rPr>
          <w:rFonts w:ascii="宋体" w:hAnsi="宋体" w:eastAsia="宋体" w:cs="宋体"/>
          <w:b/>
          <w:bCs/>
          <w:sz w:val="24"/>
          <w:szCs w:val="24"/>
        </w:rPr>
        <w:t>十四、承诺及或有事项</w:t>
      </w:r>
      <w:bookmarkEnd w:id="383"/>
    </w:p>
    <w:p>
      <w:pPr>
        <w:keepNext/>
        <w:keepLines/>
        <w:spacing w:before="300" w:after="300" w:line="280" w:lineRule="exact"/>
        <w:jc w:val="left"/>
        <w:outlineLvl w:val="2"/>
        <w:rPr>
          <w:rFonts w:ascii="宋体" w:hAnsi="宋体" w:eastAsia="宋体" w:cs="宋体"/>
          <w:b/>
          <w:bCs/>
          <w:sz w:val="21"/>
          <w:szCs w:val="21"/>
        </w:rPr>
      </w:pPr>
      <w:bookmarkStart w:id="384" w:name="_Toc989273"/>
      <w:r>
        <w:rPr>
          <w:rFonts w:ascii="宋体" w:hAnsi="宋体" w:eastAsia="宋体" w:cs="宋体"/>
          <w:b/>
          <w:bCs/>
          <w:sz w:val="21"/>
          <w:szCs w:val="21"/>
        </w:rPr>
        <w:t>1、重要承诺事项</w:t>
      </w:r>
      <w:bookmarkEnd w:id="384"/>
    </w:p>
    <w:p>
      <w:pPr>
        <w:spacing w:before="100" w:after="100" w:line="240" w:lineRule="exact"/>
        <w:jc w:val="left"/>
        <w:rPr>
          <w:rFonts w:ascii="宋体" w:hAnsi="宋体" w:eastAsia="宋体" w:cs="宋体"/>
          <w:sz w:val="18"/>
          <w:szCs w:val="18"/>
        </w:rPr>
      </w:pPr>
      <w:r>
        <w:rPr>
          <w:rFonts w:ascii="宋体" w:hAnsi="宋体" w:eastAsia="宋体" w:cs="宋体"/>
          <w:sz w:val="18"/>
          <w:szCs w:val="18"/>
        </w:rPr>
        <w:t>资产负债表日存在的重要承诺</w:t>
      </w:r>
    </w:p>
    <w:p>
      <w:pPr>
        <w:pStyle w:val="8"/>
        <w:keepNext w:val="0"/>
        <w:keepLines w:val="0"/>
        <w:widowControl/>
        <w:suppressLineNumbers w:val="0"/>
        <w:spacing w:before="120" w:beforeAutospacing="0" w:after="216" w:afterAutospacing="0"/>
        <w:ind w:left="0" w:right="0"/>
        <w:rPr>
          <w:rFonts w:hint="eastAsia" w:ascii="宋体" w:hAnsi="宋体" w:cs="宋体"/>
          <w:sz w:val="21"/>
          <w:szCs w:val="21"/>
        </w:rPr>
      </w:pPr>
      <w:r>
        <w:rPr>
          <w:rFonts w:hint="eastAsia" w:ascii="宋体" w:hAnsi="宋体" w:eastAsia="宋体" w:cs="宋体"/>
          <w:sz w:val="21"/>
          <w:szCs w:val="21"/>
        </w:rPr>
        <w:t>（1）资本承诺</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931"/>
        <w:gridCol w:w="207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340" w:hRule="atLeast"/>
          <w:jc w:val="center"/>
        </w:trPr>
        <w:tc>
          <w:tcPr>
            <w:tcW w:w="4931"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Style w:val="11"/>
                <w:rFonts w:hint="eastAsia" w:ascii="宋体" w:hAnsi="宋体" w:eastAsia="宋体" w:cs="宋体"/>
                <w:sz w:val="21"/>
                <w:szCs w:val="21"/>
              </w:rPr>
              <w:t>已签约但尚未于财务报表中确认的资本承诺</w:t>
            </w:r>
          </w:p>
        </w:tc>
        <w:tc>
          <w:tcPr>
            <w:tcW w:w="2070"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sz w:val="21"/>
                <w:szCs w:val="21"/>
              </w:rPr>
              <w:t>期末余额</w:t>
            </w:r>
          </w:p>
        </w:tc>
        <w:tc>
          <w:tcPr>
            <w:tcW w:w="2071"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Style w:val="11"/>
                <w:rFonts w:hint="eastAsia" w:ascii="宋体" w:hAnsi="宋体" w:eastAsia="宋体" w:cs="宋体"/>
                <w:b/>
                <w:bCs/>
                <w:sz w:val="21"/>
                <w:szCs w:val="21"/>
              </w:rPr>
              <w:t>上年年末余额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340" w:hRule="atLeast"/>
          <w:jc w:val="center"/>
        </w:trPr>
        <w:tc>
          <w:tcPr>
            <w:tcW w:w="4931"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both"/>
              <w:rPr>
                <w:rFonts w:hint="eastAsia" w:ascii="宋体" w:hAnsi="宋体" w:cs="宋体"/>
                <w:sz w:val="21"/>
                <w:szCs w:val="21"/>
              </w:rPr>
            </w:pPr>
            <w:r>
              <w:rPr>
                <w:rFonts w:hint="eastAsia" w:ascii="宋体" w:hAnsi="宋体" w:eastAsia="宋体" w:cs="宋体"/>
                <w:sz w:val="21"/>
                <w:szCs w:val="21"/>
              </w:rPr>
              <w:t>大额发包合同</w:t>
            </w:r>
          </w:p>
        </w:tc>
        <w:tc>
          <w:tcPr>
            <w:tcW w:w="2070"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w:t>
            </w:r>
          </w:p>
        </w:tc>
        <w:tc>
          <w:tcPr>
            <w:tcW w:w="2071" w:type="dxa"/>
            <w:shd w:val="clear" w:color="auto" w:fill="auto"/>
            <w:tcMar>
              <w:top w:w="0" w:type="dxa"/>
              <w:left w:w="108" w:type="dxa"/>
              <w:bottom w:w="0" w:type="dxa"/>
              <w:right w:w="108" w:type="dxa"/>
            </w:tcMar>
            <w:vAlign w:val="center"/>
          </w:tcPr>
          <w:p>
            <w:pPr>
              <w:pStyle w:val="8"/>
              <w:keepNext w:val="0"/>
              <w:keepLines w:val="0"/>
              <w:widowControl/>
              <w:suppressLineNumbers w:val="0"/>
              <w:spacing w:before="0" w:beforeAutospacing="0" w:after="0" w:afterAutospacing="0"/>
              <w:ind w:left="0" w:right="0"/>
              <w:jc w:val="right"/>
              <w:rPr>
                <w:rFonts w:hint="eastAsia" w:ascii="宋体" w:hAnsi="宋体" w:cs="宋体"/>
                <w:sz w:val="21"/>
                <w:szCs w:val="21"/>
              </w:rPr>
            </w:pPr>
            <w:r>
              <w:rPr>
                <w:rFonts w:hint="eastAsia" w:ascii="宋体" w:hAnsi="宋体" w:eastAsia="宋体" w:cs="宋体"/>
                <w:sz w:val="21"/>
                <w:szCs w:val="21"/>
              </w:rPr>
              <w:t xml:space="preserve">70,136,870.42 </w:t>
            </w:r>
          </w:p>
        </w:tc>
      </w:tr>
    </w:tbl>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截至2023年12月31日，本公司不存在其他应披露的承诺事项。</w:t>
      </w:r>
    </w:p>
    <w:p>
      <w:pPr>
        <w:keepNext/>
        <w:keepLines/>
        <w:spacing w:before="300" w:after="300" w:line="280" w:lineRule="exact"/>
        <w:jc w:val="left"/>
        <w:outlineLvl w:val="2"/>
        <w:rPr>
          <w:rFonts w:ascii="宋体" w:hAnsi="宋体" w:eastAsia="宋体" w:cs="宋体"/>
          <w:b/>
          <w:bCs/>
          <w:sz w:val="21"/>
          <w:szCs w:val="21"/>
        </w:rPr>
      </w:pPr>
      <w:bookmarkStart w:id="385" w:name="_Toc989274"/>
      <w:r>
        <w:rPr>
          <w:rFonts w:ascii="宋体" w:hAnsi="宋体" w:eastAsia="宋体" w:cs="宋体"/>
          <w:b/>
          <w:bCs/>
          <w:sz w:val="21"/>
          <w:szCs w:val="21"/>
        </w:rPr>
        <w:t>2、或有事项</w:t>
      </w:r>
      <w:bookmarkEnd w:id="385"/>
    </w:p>
    <w:p>
      <w:pPr>
        <w:keepNext/>
        <w:keepLines/>
        <w:spacing w:before="300" w:after="300" w:line="280" w:lineRule="exact"/>
        <w:jc w:val="left"/>
        <w:outlineLvl w:val="3"/>
        <w:rPr>
          <w:rFonts w:ascii="宋体" w:hAnsi="宋体" w:eastAsia="宋体" w:cs="宋体"/>
          <w:b/>
          <w:bCs/>
          <w:sz w:val="21"/>
          <w:szCs w:val="21"/>
        </w:rPr>
      </w:pPr>
      <w:bookmarkStart w:id="386" w:name="_Toc989275"/>
      <w:r>
        <w:rPr>
          <w:rFonts w:ascii="宋体" w:hAnsi="宋体" w:eastAsia="宋体" w:cs="宋体"/>
          <w:b/>
          <w:bCs/>
          <w:sz w:val="21"/>
          <w:szCs w:val="21"/>
        </w:rPr>
        <w:t>（1） 资产负债表日存在的重要或有事项</w:t>
      </w:r>
      <w:bookmarkEnd w:id="386"/>
    </w:p>
    <w:p>
      <w:pPr>
        <w:pStyle w:val="8"/>
        <w:keepNext w:val="0"/>
        <w:keepLines w:val="0"/>
        <w:widowControl/>
        <w:suppressLineNumbers w:val="0"/>
        <w:spacing w:before="0" w:beforeAutospacing="0" w:after="216"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截至2023年12月31日，本公司不存在其他应披露的未决诉讼、对外担保等或有事项。</w:t>
      </w:r>
    </w:p>
    <w:p>
      <w:pPr>
        <w:keepNext/>
        <w:keepLines/>
        <w:spacing w:before="300" w:after="300" w:line="280" w:lineRule="exact"/>
        <w:jc w:val="left"/>
        <w:outlineLvl w:val="3"/>
        <w:rPr>
          <w:rFonts w:ascii="宋体" w:hAnsi="宋体" w:eastAsia="宋体" w:cs="宋体"/>
          <w:b/>
          <w:bCs/>
          <w:sz w:val="21"/>
          <w:szCs w:val="21"/>
        </w:rPr>
      </w:pPr>
      <w:bookmarkStart w:id="387" w:name="_Toc989276"/>
      <w:r>
        <w:rPr>
          <w:rFonts w:ascii="宋体" w:hAnsi="宋体" w:eastAsia="宋体" w:cs="宋体"/>
          <w:b/>
          <w:bCs/>
          <w:sz w:val="21"/>
          <w:szCs w:val="21"/>
        </w:rPr>
        <w:t>（2） 公司没有需要披露的重要或有事项，也应予以说明</w:t>
      </w:r>
      <w:bookmarkEnd w:id="38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公司不存在需要披露的重要或有事项。</w:t>
      </w:r>
    </w:p>
    <w:p>
      <w:pPr>
        <w:keepNext/>
        <w:keepLines/>
        <w:spacing w:before="300" w:after="300" w:line="320" w:lineRule="exact"/>
        <w:jc w:val="left"/>
        <w:outlineLvl w:val="1"/>
        <w:rPr>
          <w:rFonts w:ascii="宋体" w:hAnsi="宋体" w:eastAsia="宋体" w:cs="宋体"/>
          <w:b/>
          <w:bCs/>
          <w:sz w:val="24"/>
          <w:szCs w:val="24"/>
        </w:rPr>
      </w:pPr>
      <w:bookmarkStart w:id="388" w:name="_Toc989277"/>
      <w:r>
        <w:rPr>
          <w:rFonts w:ascii="宋体" w:hAnsi="宋体" w:eastAsia="宋体" w:cs="宋体"/>
          <w:b/>
          <w:bCs/>
          <w:sz w:val="24"/>
          <w:szCs w:val="24"/>
        </w:rPr>
        <w:t>十五、资产负债表日后事项</w:t>
      </w:r>
      <w:bookmarkEnd w:id="388"/>
    </w:p>
    <w:p>
      <w:pPr>
        <w:keepNext/>
        <w:keepLines/>
        <w:spacing w:before="300" w:after="300" w:line="280" w:lineRule="exact"/>
        <w:jc w:val="left"/>
        <w:outlineLvl w:val="2"/>
        <w:rPr>
          <w:rFonts w:ascii="宋体" w:hAnsi="宋体" w:eastAsia="宋体" w:cs="宋体"/>
          <w:b/>
          <w:bCs/>
          <w:sz w:val="21"/>
          <w:szCs w:val="21"/>
        </w:rPr>
      </w:pPr>
      <w:bookmarkStart w:id="389" w:name="_Toc989278"/>
      <w:r>
        <w:rPr>
          <w:rFonts w:ascii="宋体" w:hAnsi="宋体" w:eastAsia="宋体" w:cs="宋体"/>
          <w:b/>
          <w:bCs/>
          <w:sz w:val="21"/>
          <w:szCs w:val="21"/>
        </w:rPr>
        <w:t>1、利润分配情况</w:t>
      </w:r>
      <w:bookmarkEnd w:id="389"/>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拟分配每10股派息数（元）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经审议批准宣告发放的每10股派息数（元）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hint="default" w:ascii="宋体" w:hAnsi="宋体" w:eastAsia="宋体" w:cs="宋体"/>
                <w:sz w:val="18"/>
                <w:szCs w:val="18"/>
                <w:lang w:val="en-US" w:eastAsia="zh-CN"/>
              </w:rPr>
            </w:pPr>
            <w:bookmarkStart w:id="390" w:name="_Toc989279"/>
            <w:r>
              <w:rPr>
                <w:rFonts w:hint="eastAsia" w:ascii="宋体" w:hAnsi="宋体" w:cs="宋体"/>
                <w:sz w:val="18"/>
                <w:szCs w:val="18"/>
                <w:lang w:val="en-US" w:eastAsia="zh-CN"/>
              </w:rPr>
              <w:t>利润分配方案</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cs="宋体"/>
                <w:sz w:val="18"/>
                <w:szCs w:val="18"/>
                <w:lang w:val="en-US" w:eastAsia="zh-CN"/>
              </w:rPr>
            </w:pPr>
            <w:r>
              <w:rPr>
                <w:rFonts w:hint="eastAsia" w:ascii="宋体" w:hAnsi="宋体" w:eastAsia="宋体" w:cs="宋体"/>
                <w:i w:val="0"/>
                <w:iCs w:val="0"/>
                <w:caps w:val="0"/>
                <w:color w:val="333333"/>
                <w:spacing w:val="0"/>
                <w:sz w:val="18"/>
                <w:szCs w:val="18"/>
                <w:shd w:val="clear" w:fill="FFFFFF"/>
              </w:rPr>
              <w:t>根据公司2024年3月26日第十届董事会第十次正式会议审议通过《关于&lt;2023年度利润分配预案&gt;的议案》，公司拟以截至2023年12月31日的总股本431,058,320股为基数，向全体股东每10股分配股利0.31元（含税），共计派发现金分红13,362,807.92元。本年度不送红股，不进行资本公积转增股本。</w:t>
            </w:r>
          </w:p>
        </w:tc>
      </w:tr>
    </w:tbl>
    <w:p>
      <w:pPr>
        <w:keepNext/>
        <w:keepLines/>
        <w:spacing w:before="300" w:after="300" w:line="280" w:lineRule="exact"/>
        <w:jc w:val="left"/>
        <w:outlineLvl w:val="2"/>
        <w:rPr>
          <w:rFonts w:ascii="宋体" w:hAnsi="宋体" w:eastAsia="宋体" w:cs="宋体"/>
          <w:b/>
          <w:bCs/>
          <w:sz w:val="21"/>
          <w:szCs w:val="21"/>
        </w:rPr>
      </w:pPr>
      <w:r>
        <w:rPr>
          <w:rFonts w:ascii="宋体" w:hAnsi="宋体" w:eastAsia="宋体" w:cs="宋体"/>
          <w:b/>
          <w:bCs/>
          <w:sz w:val="21"/>
          <w:szCs w:val="21"/>
        </w:rPr>
        <w:t>2、其他资产负债表日后事项说明</w:t>
      </w:r>
      <w:bookmarkEnd w:id="390"/>
    </w:p>
    <w:p>
      <w:pPr>
        <w:pStyle w:val="8"/>
        <w:keepNext w:val="0"/>
        <w:keepLines w:val="0"/>
        <w:widowControl/>
        <w:suppressLineNumbers w:val="0"/>
        <w:spacing w:before="0" w:beforeAutospacing="0" w:after="216" w:afterAutospacing="0"/>
        <w:ind w:left="0" w:right="0"/>
        <w:jc w:val="both"/>
        <w:rPr>
          <w:rFonts w:hint="eastAsia" w:ascii="宋体" w:hAnsi="宋体" w:cs="宋体"/>
          <w:sz w:val="21"/>
          <w:szCs w:val="21"/>
        </w:rPr>
      </w:pPr>
      <w:r>
        <w:rPr>
          <w:rFonts w:hint="eastAsia" w:ascii="宋体" w:hAnsi="宋体" w:eastAsia="宋体" w:cs="宋体"/>
          <w:color w:val="000000"/>
          <w:sz w:val="21"/>
          <w:szCs w:val="21"/>
        </w:rPr>
        <w:t>截至2024年3月26日，本公司不存在其他应披露的资产负债表日后事项。</w:t>
      </w:r>
    </w:p>
    <w:p>
      <w:pPr>
        <w:keepNext/>
        <w:keepLines/>
        <w:spacing w:before="300" w:after="300" w:line="320" w:lineRule="exact"/>
        <w:jc w:val="left"/>
        <w:outlineLvl w:val="1"/>
        <w:rPr>
          <w:rFonts w:ascii="宋体" w:hAnsi="宋体" w:eastAsia="宋体" w:cs="宋体"/>
          <w:b/>
          <w:bCs/>
          <w:sz w:val="24"/>
          <w:szCs w:val="24"/>
        </w:rPr>
      </w:pPr>
      <w:bookmarkStart w:id="391" w:name="_Toc989280"/>
      <w:r>
        <w:rPr>
          <w:rFonts w:ascii="宋体" w:hAnsi="宋体" w:eastAsia="宋体" w:cs="宋体"/>
          <w:b/>
          <w:bCs/>
          <w:sz w:val="24"/>
          <w:szCs w:val="24"/>
        </w:rPr>
        <w:t>十六、其他重要事项</w:t>
      </w:r>
      <w:bookmarkEnd w:id="391"/>
    </w:p>
    <w:p>
      <w:pPr>
        <w:keepNext/>
        <w:keepLines/>
        <w:spacing w:before="300" w:after="300" w:line="280" w:lineRule="exact"/>
        <w:jc w:val="left"/>
        <w:outlineLvl w:val="2"/>
        <w:rPr>
          <w:rFonts w:ascii="宋体" w:hAnsi="宋体" w:eastAsia="宋体" w:cs="宋体"/>
          <w:b/>
          <w:bCs/>
          <w:sz w:val="21"/>
          <w:szCs w:val="21"/>
        </w:rPr>
      </w:pPr>
      <w:bookmarkStart w:id="392" w:name="_Toc989281"/>
      <w:r>
        <w:rPr>
          <w:rFonts w:ascii="宋体" w:hAnsi="宋体" w:eastAsia="宋体" w:cs="宋体"/>
          <w:b/>
          <w:bCs/>
          <w:sz w:val="21"/>
          <w:szCs w:val="21"/>
        </w:rPr>
        <w:t>1、分部信息</w:t>
      </w:r>
      <w:bookmarkEnd w:id="392"/>
    </w:p>
    <w:p>
      <w:pPr>
        <w:keepNext/>
        <w:keepLines/>
        <w:spacing w:before="300" w:after="300" w:line="280" w:lineRule="exact"/>
        <w:jc w:val="left"/>
        <w:outlineLvl w:val="3"/>
        <w:rPr>
          <w:rFonts w:ascii="宋体" w:hAnsi="宋体" w:eastAsia="宋体" w:cs="宋体"/>
          <w:b/>
          <w:bCs/>
          <w:sz w:val="21"/>
          <w:szCs w:val="21"/>
        </w:rPr>
      </w:pPr>
      <w:bookmarkStart w:id="393" w:name="_Toc989282"/>
      <w:r>
        <w:rPr>
          <w:rFonts w:ascii="宋体" w:hAnsi="宋体" w:eastAsia="宋体" w:cs="宋体"/>
          <w:b/>
          <w:bCs/>
          <w:sz w:val="21"/>
          <w:szCs w:val="21"/>
        </w:rPr>
        <w:t>（1） 报告分部的确定依据与会计政策</w:t>
      </w:r>
      <w:bookmarkEnd w:id="393"/>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根据本公司的内部组织结构、管理要求及内部报告制度，本公司的经营业务划分为</w:t>
      </w:r>
      <w:r>
        <w:rPr>
          <w:rFonts w:hint="eastAsia" w:ascii="宋体" w:hAnsi="宋体" w:eastAsia="宋体" w:cs="宋体"/>
          <w:sz w:val="21"/>
          <w:szCs w:val="21"/>
          <w:lang w:val="en-US" w:eastAsia="zh-CN"/>
        </w:rPr>
        <w:t>4</w:t>
      </w:r>
      <w:r>
        <w:rPr>
          <w:rFonts w:hint="eastAsia" w:ascii="宋体" w:hAnsi="宋体" w:eastAsia="宋体" w:cs="宋体"/>
          <w:sz w:val="21"/>
          <w:szCs w:val="21"/>
        </w:rPr>
        <w:t>个报告分部。这些报告分部是以公司日常内部管理要求的财务信息为基础确定的。集团的管理层定期评价这些报告分部的经营成果，以决定向其分配资源及评价其业绩。</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本公司报告分部包括：</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（1）汽车销售，4S点销售汽车；</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（2）汽车维修及检测，4S点汽车检测维修；</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（3）租赁及服务，房产及商业地产租赁；</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（4）珠宝销售及服务，黄金珠宝的批发和零售。</w:t>
      </w:r>
    </w:p>
    <w:p>
      <w:pPr>
        <w:pStyle w:val="8"/>
        <w:keepNext w:val="0"/>
        <w:keepLines w:val="0"/>
        <w:widowControl/>
        <w:suppressLineNumbers w:val="0"/>
        <w:spacing w:before="120" w:beforeAutospacing="0" w:after="216" w:afterAutospacing="0"/>
        <w:ind w:left="0" w:right="0"/>
        <w:jc w:val="both"/>
        <w:rPr>
          <w:rFonts w:hint="eastAsia" w:ascii="宋体" w:hAnsi="宋体" w:cs="宋体"/>
          <w:sz w:val="21"/>
          <w:szCs w:val="21"/>
        </w:rPr>
      </w:pPr>
      <w:r>
        <w:rPr>
          <w:rFonts w:hint="eastAsia" w:ascii="宋体" w:hAnsi="宋体" w:eastAsia="宋体" w:cs="宋体"/>
          <w:sz w:val="21"/>
          <w:szCs w:val="21"/>
        </w:rPr>
        <w:t>分部报告信息根据各分部向管理层报告时采用的会计政策及计量标准披露，这些会计政策及计量基础与编制财务报表时的会计政策及计量基础保持一致。</w:t>
      </w:r>
    </w:p>
    <w:p>
      <w:pPr>
        <w:keepNext/>
        <w:keepLines/>
        <w:spacing w:before="300" w:after="300" w:line="280" w:lineRule="exact"/>
        <w:jc w:val="left"/>
        <w:outlineLvl w:val="3"/>
        <w:rPr>
          <w:rFonts w:ascii="宋体" w:hAnsi="宋体" w:eastAsia="宋体" w:cs="宋体"/>
          <w:b/>
          <w:bCs/>
          <w:sz w:val="21"/>
          <w:szCs w:val="21"/>
        </w:rPr>
      </w:pPr>
      <w:bookmarkStart w:id="394" w:name="_Toc989283"/>
      <w:r>
        <w:rPr>
          <w:rFonts w:ascii="宋体" w:hAnsi="宋体" w:eastAsia="宋体" w:cs="宋体"/>
          <w:b/>
          <w:bCs/>
          <w:sz w:val="21"/>
          <w:szCs w:val="21"/>
        </w:rPr>
        <w:t>（2） 报告分部的财务信息</w:t>
      </w:r>
      <w:bookmarkEnd w:id="39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10290" w:type="dxa"/>
        <w:tblInd w:w="-34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50"/>
        <w:gridCol w:w="1305"/>
        <w:gridCol w:w="1380"/>
        <w:gridCol w:w="1545"/>
        <w:gridCol w:w="1620"/>
        <w:gridCol w:w="1665"/>
        <w:gridCol w:w="17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汽车销售</w:t>
            </w:r>
          </w:p>
        </w:tc>
        <w:tc>
          <w:tcPr>
            <w:tcW w:w="13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汽车检测维及检测</w:t>
            </w:r>
          </w:p>
        </w:tc>
        <w:tc>
          <w:tcPr>
            <w:tcW w:w="15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租赁及服务</w:t>
            </w:r>
          </w:p>
        </w:tc>
        <w:tc>
          <w:tcPr>
            <w:tcW w:w="16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珠宝批发及零售服务</w:t>
            </w:r>
          </w:p>
        </w:tc>
        <w:tc>
          <w:tcPr>
            <w:tcW w:w="166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分部间抵销</w:t>
            </w:r>
          </w:p>
        </w:tc>
        <w:tc>
          <w:tcPr>
            <w:tcW w:w="17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42,638,840.47</w:t>
            </w:r>
          </w:p>
        </w:tc>
        <w:tc>
          <w:tcPr>
            <w:tcW w:w="13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13,368,747.52</w:t>
            </w:r>
          </w:p>
        </w:tc>
        <w:tc>
          <w:tcPr>
            <w:tcW w:w="15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253,392,431.36</w:t>
            </w:r>
          </w:p>
        </w:tc>
        <w:tc>
          <w:tcPr>
            <w:tcW w:w="16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1,542,157,106.92</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-4,818,284.38</w:t>
            </w:r>
          </w:p>
        </w:tc>
        <w:tc>
          <w:tcPr>
            <w:tcW w:w="17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1,846,738,841.89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营业成本</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38,385,230.69</w:t>
            </w:r>
          </w:p>
        </w:tc>
        <w:tc>
          <w:tcPr>
            <w:tcW w:w="13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11,719,946.94</w:t>
            </w:r>
          </w:p>
        </w:tc>
        <w:tc>
          <w:tcPr>
            <w:tcW w:w="15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86,694,475.52</w:t>
            </w:r>
          </w:p>
        </w:tc>
        <w:tc>
          <w:tcPr>
            <w:tcW w:w="16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1,514,872,121.11</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-3,334,574.66</w:t>
            </w:r>
          </w:p>
        </w:tc>
        <w:tc>
          <w:tcPr>
            <w:tcW w:w="17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1,648,337,199.60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资产总额</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2,556,702.58</w:t>
            </w:r>
          </w:p>
        </w:tc>
        <w:tc>
          <w:tcPr>
            <w:tcW w:w="13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22,617,624.69</w:t>
            </w:r>
          </w:p>
        </w:tc>
        <w:tc>
          <w:tcPr>
            <w:tcW w:w="15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hint="eastAsia" w:ascii="宋体" w:hAnsi="宋体" w:eastAsia="宋体" w:cs="宋体"/>
                <w:color w:val="000000"/>
                <w:kern w:val="0"/>
                <w:sz w:val="15"/>
                <w:szCs w:val="15"/>
                <w:lang w:bidi="ar"/>
              </w:rPr>
              <w:t>2,961,749,798.55</w:t>
            </w:r>
          </w:p>
        </w:tc>
        <w:tc>
          <w:tcPr>
            <w:tcW w:w="16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556,167,028.18</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-1,139,239,469.55</w:t>
            </w:r>
          </w:p>
        </w:tc>
        <w:tc>
          <w:tcPr>
            <w:tcW w:w="17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hint="eastAsia" w:ascii="宋体" w:hAnsi="宋体" w:eastAsia="宋体" w:cs="宋体"/>
                <w:color w:val="000000"/>
                <w:kern w:val="0"/>
                <w:sz w:val="15"/>
                <w:szCs w:val="15"/>
                <w:lang w:bidi="ar"/>
              </w:rPr>
              <w:t>2,403,851,684.45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5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负债总额</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7,136,866.99</w:t>
            </w:r>
          </w:p>
        </w:tc>
        <w:tc>
          <w:tcPr>
            <w:tcW w:w="13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29,654,180.14</w:t>
            </w:r>
          </w:p>
        </w:tc>
        <w:tc>
          <w:tcPr>
            <w:tcW w:w="154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hint="eastAsia" w:ascii="宋体" w:hAnsi="宋体" w:eastAsia="宋体" w:cs="宋体"/>
                <w:color w:val="000000"/>
                <w:kern w:val="0"/>
                <w:sz w:val="15"/>
                <w:szCs w:val="15"/>
                <w:lang w:bidi="ar"/>
              </w:rPr>
              <w:t>730,703,499.74</w:t>
            </w:r>
          </w:p>
        </w:tc>
        <w:tc>
          <w:tcPr>
            <w:tcW w:w="16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275,873,585.55</w:t>
            </w:r>
          </w:p>
        </w:tc>
        <w:tc>
          <w:tcPr>
            <w:tcW w:w="166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ascii="宋体" w:hAnsi="宋体" w:eastAsia="宋体" w:cs="宋体"/>
                <w:sz w:val="15"/>
                <w:szCs w:val="15"/>
              </w:rPr>
              <w:t>-370,588,365.99</w:t>
            </w:r>
          </w:p>
        </w:tc>
        <w:tc>
          <w:tcPr>
            <w:tcW w:w="17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5"/>
                <w:szCs w:val="15"/>
              </w:rPr>
            </w:pPr>
            <w:r>
              <w:rPr>
                <w:rFonts w:hint="eastAsia" w:ascii="宋体" w:hAnsi="宋体" w:eastAsia="宋体" w:cs="宋体"/>
                <w:color w:val="000000"/>
                <w:kern w:val="0"/>
                <w:sz w:val="15"/>
                <w:szCs w:val="15"/>
                <w:lang w:bidi="ar"/>
              </w:rPr>
              <w:t>672,779,766.43</w:t>
            </w:r>
          </w:p>
        </w:tc>
      </w:tr>
    </w:tbl>
    <w:p>
      <w:pPr>
        <w:keepNext/>
        <w:keepLines/>
        <w:spacing w:before="300" w:after="300" w:line="320" w:lineRule="exact"/>
        <w:jc w:val="left"/>
        <w:outlineLvl w:val="1"/>
        <w:rPr>
          <w:rFonts w:ascii="宋体" w:hAnsi="宋体" w:eastAsia="宋体" w:cs="宋体"/>
          <w:b/>
          <w:bCs/>
          <w:sz w:val="24"/>
          <w:szCs w:val="24"/>
        </w:rPr>
      </w:pPr>
      <w:bookmarkStart w:id="395" w:name="_Toc989284"/>
      <w:r>
        <w:rPr>
          <w:rFonts w:ascii="宋体" w:hAnsi="宋体" w:eastAsia="宋体" w:cs="宋体"/>
          <w:b/>
          <w:bCs/>
          <w:sz w:val="24"/>
          <w:szCs w:val="24"/>
        </w:rPr>
        <w:t>十七、母公司财务报表主要项目注释</w:t>
      </w:r>
      <w:bookmarkEnd w:id="395"/>
    </w:p>
    <w:p>
      <w:pPr>
        <w:keepNext/>
        <w:keepLines/>
        <w:spacing w:before="300" w:after="300" w:line="280" w:lineRule="exact"/>
        <w:jc w:val="left"/>
        <w:outlineLvl w:val="2"/>
        <w:rPr>
          <w:rFonts w:ascii="宋体" w:hAnsi="宋体" w:eastAsia="宋体" w:cs="宋体"/>
          <w:b/>
          <w:bCs/>
          <w:sz w:val="21"/>
          <w:szCs w:val="21"/>
        </w:rPr>
      </w:pPr>
      <w:bookmarkStart w:id="396" w:name="_Toc989285"/>
      <w:r>
        <w:rPr>
          <w:rFonts w:ascii="宋体" w:hAnsi="宋体" w:eastAsia="宋体" w:cs="宋体"/>
          <w:b/>
          <w:bCs/>
          <w:sz w:val="21"/>
          <w:szCs w:val="21"/>
        </w:rPr>
        <w:t>1、应收账款</w:t>
      </w:r>
      <w:bookmarkEnd w:id="396"/>
    </w:p>
    <w:p>
      <w:pPr>
        <w:keepNext/>
        <w:keepLines/>
        <w:spacing w:before="300" w:after="300" w:line="280" w:lineRule="exact"/>
        <w:jc w:val="left"/>
        <w:outlineLvl w:val="3"/>
        <w:rPr>
          <w:rFonts w:ascii="宋体" w:hAnsi="宋体" w:eastAsia="宋体" w:cs="宋体"/>
          <w:b/>
          <w:bCs/>
          <w:sz w:val="21"/>
          <w:szCs w:val="21"/>
        </w:rPr>
      </w:pPr>
      <w:bookmarkStart w:id="397" w:name="_Toc989286"/>
      <w:r>
        <w:rPr>
          <w:rFonts w:ascii="宋体" w:hAnsi="宋体" w:eastAsia="宋体" w:cs="宋体"/>
          <w:b/>
          <w:bCs/>
          <w:sz w:val="21"/>
          <w:szCs w:val="21"/>
        </w:rPr>
        <w:t>（1） 按账龄披露</w:t>
      </w:r>
      <w:bookmarkEnd w:id="39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22,182,052.01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146,990.82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124,487.53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488,163.08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488,163.08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5年以上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488,163.08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488,163.08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22,794,702.62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635,153.90</w:t>
            </w:r>
          </w:p>
        </w:tc>
      </w:tr>
    </w:tbl>
    <w:p>
      <w:pPr>
        <w:keepNext/>
        <w:keepLines/>
        <w:spacing w:before="300" w:after="300" w:line="280" w:lineRule="exact"/>
        <w:jc w:val="left"/>
        <w:outlineLvl w:val="3"/>
        <w:rPr>
          <w:rFonts w:ascii="宋体" w:hAnsi="宋体" w:eastAsia="宋体" w:cs="宋体"/>
          <w:b/>
          <w:bCs/>
          <w:sz w:val="21"/>
          <w:szCs w:val="21"/>
        </w:rPr>
      </w:pPr>
      <w:bookmarkStart w:id="398" w:name="_Toc989287"/>
      <w:r>
        <w:rPr>
          <w:rFonts w:ascii="宋体" w:hAnsi="宋体" w:eastAsia="宋体" w:cs="宋体"/>
          <w:b/>
          <w:bCs/>
          <w:sz w:val="21"/>
          <w:szCs w:val="21"/>
        </w:rPr>
        <w:t>（2） 按坏账计提方法分类披露</w:t>
      </w:r>
      <w:bookmarkEnd w:id="39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22,309,899.54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229,707.30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22,080,192.24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150,350.82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3,149.91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147,200.91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其中：账龄组合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22,309,899.54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229,707.30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22,080,192.24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150,350.82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3,149.91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147,200.91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22,794,702.62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714,510.38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22,080,192.24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635,153.90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487,952.99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76.82%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147,200.91</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深圳笔架山俱乐部有限公司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龚炎清</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97,806.64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97,806.64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97,806.64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97,806.64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广州市天河乐敏电脑中心</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86,940.00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86,940.00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86,940.00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86,940.00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128,056.44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128,056.44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128,056.44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128,056.44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账龄较长，预计无法收回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按组合计提坏账准备：账龄组合</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22,182,052.01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221,802.92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124,487.53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6,224.38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22,309,899.54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229,707.30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3,149.91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487,952.99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226,557.39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226,557.39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229,707.30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484,803.08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714,510.38</w:t>
            </w:r>
          </w:p>
        </w:tc>
      </w:tr>
    </w:tbl>
    <w:p>
      <w:pPr>
        <w:keepNext/>
        <w:keepLines/>
        <w:spacing w:before="300" w:after="300" w:line="280" w:lineRule="exact"/>
        <w:jc w:val="left"/>
        <w:outlineLvl w:val="3"/>
        <w:rPr>
          <w:rFonts w:ascii="宋体" w:hAnsi="宋体" w:eastAsia="宋体" w:cs="宋体"/>
          <w:b/>
          <w:bCs/>
          <w:sz w:val="21"/>
          <w:szCs w:val="21"/>
        </w:rPr>
      </w:pPr>
      <w:bookmarkStart w:id="399" w:name="_Toc989288"/>
      <w:r>
        <w:rPr>
          <w:rFonts w:ascii="宋体" w:hAnsi="宋体" w:eastAsia="宋体" w:cs="宋体"/>
          <w:b/>
          <w:bCs/>
          <w:sz w:val="21"/>
          <w:szCs w:val="21"/>
        </w:rPr>
        <w:t>（3） 本期计提、收回或转回的坏账准备情况</w:t>
      </w:r>
      <w:bookmarkEnd w:id="399"/>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487,952.99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226,557.39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714,510.38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487,952.99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226,557.39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714,510.38</w:t>
            </w:r>
          </w:p>
        </w:tc>
      </w:tr>
    </w:tbl>
    <w:p>
      <w:pPr>
        <w:keepNext/>
        <w:keepLines/>
        <w:spacing w:before="300" w:after="300" w:line="280" w:lineRule="exact"/>
        <w:jc w:val="left"/>
        <w:outlineLvl w:val="3"/>
        <w:rPr>
          <w:rFonts w:ascii="宋体" w:hAnsi="宋体" w:eastAsia="宋体" w:cs="宋体"/>
          <w:b/>
          <w:bCs/>
          <w:sz w:val="21"/>
          <w:szCs w:val="21"/>
        </w:rPr>
      </w:pPr>
      <w:bookmarkStart w:id="400" w:name="_Toc989289"/>
      <w:r>
        <w:rPr>
          <w:rFonts w:ascii="宋体" w:hAnsi="宋体" w:eastAsia="宋体" w:cs="宋体"/>
          <w:b/>
          <w:bCs/>
          <w:sz w:val="21"/>
          <w:szCs w:val="21"/>
        </w:rPr>
        <w:t>（4） 按欠款方归集的期末余额前五名的应收账款和合同资产情况</w:t>
      </w:r>
      <w:bookmarkEnd w:id="4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54"/>
        <w:gridCol w:w="1635"/>
        <w:gridCol w:w="1229"/>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12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合同资产期末余额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应收账款和合同资产期末余额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占应收账款和合同资产期末余额合计数的比例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应收账款坏账准备和合同资产减值准备期末余额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深圳市西南黄金经营中心有限公司</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2,046,208.16</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2,046,208.16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周生生（中国）商业有限公司</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1,935,060.54</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1,935,060.54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19,350.61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深圳市鹤麟珠宝首饰有限公司</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1,286,721.23</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1,286,721.23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12,867.21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中宝金源（深圳）产业发展有限公司</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1,203,415.57</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1,203,415.57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12,034.16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深圳市鑫钰福珠宝首饰有限公司</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631,483.95</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631,483.95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6,314.84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7,102,889.45</w:t>
            </w:r>
          </w:p>
        </w:tc>
        <w:tc>
          <w:tcPr>
            <w:tcW w:w="122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7,102,889.45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71,028.90</w:t>
            </w:r>
          </w:p>
        </w:tc>
      </w:tr>
    </w:tbl>
    <w:p>
      <w:pPr>
        <w:keepNext/>
        <w:keepLines/>
        <w:spacing w:before="300" w:after="300" w:line="280" w:lineRule="exact"/>
        <w:jc w:val="left"/>
        <w:outlineLvl w:val="2"/>
        <w:rPr>
          <w:rFonts w:ascii="宋体" w:hAnsi="宋体" w:eastAsia="宋体" w:cs="宋体"/>
          <w:b/>
          <w:bCs/>
          <w:sz w:val="21"/>
          <w:szCs w:val="21"/>
        </w:rPr>
      </w:pPr>
      <w:bookmarkStart w:id="401" w:name="_Toc989290"/>
      <w:r>
        <w:rPr>
          <w:rFonts w:ascii="宋体" w:hAnsi="宋体" w:eastAsia="宋体" w:cs="宋体"/>
          <w:b/>
          <w:bCs/>
          <w:sz w:val="21"/>
          <w:szCs w:val="21"/>
        </w:rPr>
        <w:t>2、其他应收款</w:t>
      </w:r>
      <w:bookmarkEnd w:id="40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46,126,945.18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3,114,221.75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47,432,527.04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4,966,987.96</w:t>
            </w:r>
          </w:p>
        </w:tc>
      </w:tr>
    </w:tbl>
    <w:p>
      <w:pPr>
        <w:keepNext/>
        <w:keepLines/>
        <w:spacing w:before="300" w:after="300" w:line="280" w:lineRule="exact"/>
        <w:jc w:val="left"/>
        <w:outlineLvl w:val="3"/>
        <w:rPr>
          <w:rFonts w:ascii="宋体" w:hAnsi="宋体" w:eastAsia="宋体" w:cs="宋体"/>
          <w:b/>
          <w:bCs/>
          <w:sz w:val="18"/>
          <w:szCs w:val="18"/>
        </w:rPr>
      </w:pPr>
      <w:bookmarkStart w:id="402" w:name="_Toc989291"/>
      <w:r>
        <w:rPr>
          <w:rFonts w:ascii="宋体" w:hAnsi="宋体" w:eastAsia="宋体" w:cs="宋体"/>
          <w:b/>
          <w:bCs/>
          <w:sz w:val="18"/>
          <w:szCs w:val="18"/>
        </w:rPr>
        <w:t>（1） 应收股利</w:t>
      </w:r>
      <w:bookmarkEnd w:id="402"/>
    </w:p>
    <w:p>
      <w:pPr>
        <w:keepNext/>
        <w:keepLines/>
        <w:spacing w:before="300" w:after="300" w:line="280" w:lineRule="exact"/>
        <w:jc w:val="left"/>
        <w:outlineLvl w:val="4"/>
        <w:rPr>
          <w:rFonts w:ascii="宋体" w:hAnsi="宋体" w:eastAsia="宋体" w:cs="宋体"/>
          <w:b/>
          <w:bCs/>
          <w:sz w:val="18"/>
          <w:szCs w:val="18"/>
        </w:rPr>
      </w:pPr>
      <w:bookmarkStart w:id="403" w:name="_Toc989292"/>
      <w:r>
        <w:rPr>
          <w:rFonts w:ascii="宋体" w:hAnsi="宋体" w:eastAsia="宋体" w:cs="宋体"/>
          <w:b/>
          <w:bCs/>
          <w:sz w:val="18"/>
          <w:szCs w:val="18"/>
        </w:rPr>
        <w:t>1） 应收股利分类</w:t>
      </w:r>
      <w:bookmarkEnd w:id="40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中国浦发机械工业股份有限公司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1,852,766.21</w:t>
            </w:r>
          </w:p>
        </w:tc>
      </w:tr>
    </w:tbl>
    <w:p>
      <w:pPr>
        <w:keepNext/>
        <w:keepLines/>
        <w:spacing w:before="300" w:after="300" w:line="280" w:lineRule="exact"/>
        <w:jc w:val="left"/>
        <w:outlineLvl w:val="4"/>
        <w:rPr>
          <w:rFonts w:ascii="宋体" w:hAnsi="宋体" w:eastAsia="宋体" w:cs="宋体"/>
          <w:b/>
          <w:bCs/>
          <w:sz w:val="18"/>
          <w:szCs w:val="18"/>
        </w:rPr>
      </w:pPr>
      <w:bookmarkStart w:id="404" w:name="_Toc989293"/>
      <w:r>
        <w:rPr>
          <w:rFonts w:ascii="宋体" w:hAnsi="宋体" w:eastAsia="宋体" w:cs="宋体"/>
          <w:b/>
          <w:bCs/>
          <w:sz w:val="18"/>
          <w:szCs w:val="18"/>
        </w:rPr>
        <w:t>2） 重要的账龄超过1年的应收股利</w:t>
      </w:r>
      <w:bookmarkEnd w:id="40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69"/>
        <w:gridCol w:w="1605"/>
        <w:gridCol w:w="1310"/>
        <w:gridCol w:w="1480"/>
        <w:gridCol w:w="23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6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3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23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6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中国浦发机械工业股份有限公司</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13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1-2年</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暂未支付</w:t>
            </w:r>
          </w:p>
        </w:tc>
        <w:tc>
          <w:tcPr>
            <w:tcW w:w="23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该公司财务状况、经营情况正常，应收股利未发生减值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c>
          <w:tcPr>
            <w:tcW w:w="13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376"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18"/>
          <w:szCs w:val="18"/>
        </w:rPr>
      </w:pPr>
      <w:bookmarkStart w:id="405" w:name="_Toc989294"/>
      <w:r>
        <w:rPr>
          <w:rFonts w:ascii="宋体" w:hAnsi="宋体" w:eastAsia="宋体" w:cs="宋体"/>
          <w:b/>
          <w:bCs/>
          <w:sz w:val="18"/>
          <w:szCs w:val="18"/>
        </w:rPr>
        <w:t>（2） 其他应收款</w:t>
      </w:r>
      <w:bookmarkEnd w:id="405"/>
    </w:p>
    <w:p>
      <w:pPr>
        <w:keepNext/>
        <w:keepLines/>
        <w:spacing w:before="300" w:after="300" w:line="280" w:lineRule="exact"/>
        <w:jc w:val="left"/>
        <w:outlineLvl w:val="4"/>
        <w:rPr>
          <w:rFonts w:ascii="宋体" w:hAnsi="宋体" w:eastAsia="宋体" w:cs="宋体"/>
          <w:b/>
          <w:bCs/>
          <w:sz w:val="18"/>
          <w:szCs w:val="18"/>
        </w:rPr>
      </w:pPr>
      <w:bookmarkStart w:id="406" w:name="_Toc989295"/>
      <w:r>
        <w:rPr>
          <w:rFonts w:ascii="宋体" w:hAnsi="宋体" w:eastAsia="宋体" w:cs="宋体"/>
          <w:b/>
          <w:bCs/>
          <w:sz w:val="18"/>
          <w:szCs w:val="18"/>
        </w:rPr>
        <w:t>1） 其他应收款按款项性质分类情况</w:t>
      </w:r>
      <w:bookmarkEnd w:id="40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其他应收暂付款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15,738,436.97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14,255,119.76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押金和保证金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1,774,070.79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46,698.00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应收合并范围内关联往来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42,400,084.74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2,474,015.88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59,912,592.50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16,775,833.64</w:t>
            </w:r>
          </w:p>
        </w:tc>
      </w:tr>
    </w:tbl>
    <w:p>
      <w:pPr>
        <w:keepNext/>
        <w:keepLines/>
        <w:spacing w:before="300" w:after="300" w:line="280" w:lineRule="exact"/>
        <w:jc w:val="left"/>
        <w:outlineLvl w:val="4"/>
        <w:rPr>
          <w:rFonts w:ascii="宋体" w:hAnsi="宋体" w:eastAsia="宋体" w:cs="宋体"/>
          <w:b/>
          <w:bCs/>
          <w:sz w:val="18"/>
          <w:szCs w:val="18"/>
        </w:rPr>
      </w:pPr>
      <w:bookmarkStart w:id="407" w:name="_Toc989296"/>
      <w:r>
        <w:rPr>
          <w:rFonts w:ascii="宋体" w:hAnsi="宋体" w:eastAsia="宋体" w:cs="宋体"/>
          <w:b/>
          <w:bCs/>
          <w:sz w:val="18"/>
          <w:szCs w:val="18"/>
        </w:rPr>
        <w:t>2） 按账龄披露</w:t>
      </w:r>
      <w:bookmarkEnd w:id="40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43,614,137.53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eastAsia="宋体" w:cs="宋体"/>
                <w:color w:val="000000"/>
                <w:kern w:val="0"/>
                <w:sz w:val="18"/>
                <w:szCs w:val="18"/>
                <w:lang w:bidi="ar"/>
              </w:rPr>
              <w:t>416</w:t>
            </w:r>
            <w:r>
              <w:rPr>
                <w:rFonts w:hint="eastAsia" w:ascii="宋体" w:hAnsi="宋体" w:cs="宋体"/>
                <w:color w:val="000000"/>
                <w:kern w:val="0"/>
                <w:sz w:val="18"/>
                <w:szCs w:val="18"/>
                <w:lang w:val="en-US" w:eastAsia="zh-CN" w:bidi="ar"/>
              </w:rPr>
              <w:t>,</w:t>
            </w:r>
            <w:r>
              <w:rPr>
                <w:rFonts w:hint="eastAsia" w:ascii="宋体" w:hAnsi="宋体" w:eastAsia="宋体" w:cs="宋体"/>
                <w:color w:val="000000"/>
                <w:kern w:val="0"/>
                <w:sz w:val="18"/>
                <w:szCs w:val="18"/>
                <w:lang w:bidi="ar"/>
              </w:rPr>
              <w:t>319.22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1,937,642.51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655,714.30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643,606.04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25,867.36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13,717,206.42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13,677,932.76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3至4年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39,273.66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5年以上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13,677,932.76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13,677,932.76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59,912,592.50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16,775,833.64</w:t>
            </w:r>
          </w:p>
        </w:tc>
      </w:tr>
    </w:tbl>
    <w:p>
      <w:pPr>
        <w:keepNext/>
        <w:keepLines/>
        <w:spacing w:before="300" w:after="300" w:line="280" w:lineRule="exact"/>
        <w:jc w:val="left"/>
        <w:outlineLvl w:val="4"/>
        <w:rPr>
          <w:rFonts w:ascii="宋体" w:hAnsi="宋体" w:eastAsia="宋体" w:cs="宋体"/>
          <w:b/>
          <w:bCs/>
          <w:sz w:val="18"/>
          <w:szCs w:val="18"/>
        </w:rPr>
      </w:pPr>
      <w:bookmarkStart w:id="408" w:name="_Toc989297"/>
      <w:r>
        <w:rPr>
          <w:rFonts w:ascii="宋体" w:hAnsi="宋体" w:eastAsia="宋体" w:cs="宋体"/>
          <w:b/>
          <w:bCs/>
          <w:sz w:val="18"/>
          <w:szCs w:val="18"/>
        </w:rPr>
        <w:t>3） 按坏账计提方法分类披露</w:t>
      </w:r>
      <w:bookmarkEnd w:id="4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0"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0"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13,644,641.06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13,644,641.06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13,631,234.76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13,631,234.76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46,267,951.44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141,006.26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46,126,945.1</w:t>
            </w:r>
            <w:r>
              <w:rPr>
                <w:rFonts w:hint="eastAsia" w:ascii="宋体" w:hAnsi="宋体" w:cs="宋体"/>
                <w:sz w:val="18"/>
                <w:szCs w:val="18"/>
                <w:lang w:val="en-US" w:eastAsia="zh-CN"/>
              </w:rPr>
              <w:t>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3,144,598.88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30,377.13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3,114,221.75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eastAsia" w:ascii="宋体" w:hAnsi="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账龄组合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2,093,795.91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72,610.51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2,021,185.40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617,774.03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7,028.13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color w:val="000000"/>
                <w:kern w:val="0"/>
                <w:sz w:val="18"/>
                <w:szCs w:val="18"/>
                <w:lang w:bidi="ar"/>
              </w:rPr>
              <w:t>610,745.90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应收押金保证金组合</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1,774,070.79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68,395.75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1,705,675.0</w:t>
            </w:r>
            <w:r>
              <w:rPr>
                <w:rFonts w:hint="eastAsia" w:ascii="宋体" w:hAnsi="宋体" w:cs="宋体"/>
                <w:sz w:val="18"/>
                <w:szCs w:val="18"/>
                <w:lang w:val="en-US" w:eastAsia="zh-CN"/>
              </w:rPr>
              <w:t>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46,698.00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23,349.00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23,349.00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合并范围内关联往来款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42,400,084.74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70.77%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42,400,084.74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2,480,126.85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2,480,126.85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59,912,592.50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13,785,647.32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23.01%</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46,126,945.1</w:t>
            </w:r>
            <w:r>
              <w:rPr>
                <w:rFonts w:hint="eastAsia" w:ascii="宋体" w:hAnsi="宋体" w:cs="宋体"/>
                <w:sz w:val="18"/>
                <w:szCs w:val="18"/>
                <w:lang w:val="en-US" w:eastAsia="zh-CN"/>
              </w:rPr>
              <w:t>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16,775,833.64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13,661,611.89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81.44%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b/>
                <w:bCs/>
                <w:color w:val="000000"/>
                <w:kern w:val="0"/>
                <w:sz w:val="18"/>
                <w:szCs w:val="18"/>
                <w:lang w:bidi="ar"/>
              </w:rPr>
              <w:t>3,114,221.75</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04"/>
        <w:gridCol w:w="2116"/>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6936"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账龄组合</w:t>
            </w:r>
          </w:p>
        </w:tc>
        <w:tc>
          <w:tcPr>
            <w:tcW w:w="2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2,093,795.91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72,610.51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应收押金保证金组合</w:t>
            </w:r>
          </w:p>
        </w:tc>
        <w:tc>
          <w:tcPr>
            <w:tcW w:w="2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1,774,070.79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68,395.75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合并范围内关联往来款</w:t>
            </w:r>
          </w:p>
        </w:tc>
        <w:tc>
          <w:tcPr>
            <w:tcW w:w="2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42,400,084.74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0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11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46,267,951.44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141,006.26</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按预期信用损失一般模型计提坏账准备：</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30,377.13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13,631,234.76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13,661,611.89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110,629.13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110,629.13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13,406.30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13,406.30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2023年12月31日余额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141,006.26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13,644,641.06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13,785,647.32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各阶段划分依据和坏账准备计提比例</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4"/>
        <w:rPr>
          <w:rFonts w:ascii="宋体" w:hAnsi="宋体" w:eastAsia="宋体" w:cs="宋体"/>
          <w:b/>
          <w:bCs/>
          <w:sz w:val="18"/>
          <w:szCs w:val="18"/>
        </w:rPr>
      </w:pPr>
      <w:bookmarkStart w:id="409" w:name="_Toc989298"/>
      <w:r>
        <w:rPr>
          <w:rFonts w:ascii="宋体" w:hAnsi="宋体" w:eastAsia="宋体" w:cs="宋体"/>
          <w:b/>
          <w:bCs/>
          <w:sz w:val="18"/>
          <w:szCs w:val="18"/>
        </w:rPr>
        <w:t>4） 本期计提、收回或转回的坏账准备情况</w:t>
      </w:r>
      <w:bookmarkEnd w:id="409"/>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138"/>
        <w:gridCol w:w="1425"/>
        <w:gridCol w:w="1320"/>
        <w:gridCol w:w="16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26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6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13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转销或核销</w:t>
            </w:r>
          </w:p>
        </w:tc>
        <w:tc>
          <w:tcPr>
            <w:tcW w:w="13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6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13,661,611.89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110,629.13</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13,406.30</w:t>
            </w:r>
          </w:p>
        </w:tc>
        <w:tc>
          <w:tcPr>
            <w:tcW w:w="16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13,785,647.32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13,661,611.89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110,629.13</w:t>
            </w:r>
          </w:p>
        </w:tc>
        <w:tc>
          <w:tcPr>
            <w:tcW w:w="113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4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13,406.30</w:t>
            </w:r>
          </w:p>
        </w:tc>
        <w:tc>
          <w:tcPr>
            <w:tcW w:w="16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13,785,647.32</w:t>
            </w:r>
          </w:p>
        </w:tc>
      </w:tr>
    </w:tbl>
    <w:p>
      <w:pPr>
        <w:keepNext/>
        <w:keepLines/>
        <w:spacing w:before="300" w:after="300" w:line="280" w:lineRule="exact"/>
        <w:jc w:val="left"/>
        <w:outlineLvl w:val="4"/>
        <w:rPr>
          <w:rFonts w:ascii="宋体" w:hAnsi="宋体" w:eastAsia="宋体" w:cs="宋体"/>
          <w:b/>
          <w:bCs/>
          <w:sz w:val="18"/>
          <w:szCs w:val="18"/>
        </w:rPr>
      </w:pPr>
      <w:bookmarkStart w:id="410" w:name="_Toc989299"/>
      <w:r>
        <w:rPr>
          <w:rFonts w:ascii="宋体" w:hAnsi="宋体" w:eastAsia="宋体" w:cs="宋体"/>
          <w:b/>
          <w:bCs/>
          <w:sz w:val="18"/>
          <w:szCs w:val="18"/>
        </w:rPr>
        <w:t>5） 按欠款方归集的期末余额前五名的其他应收款情况</w:t>
      </w:r>
      <w:bookmarkEnd w:id="41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42"/>
        <w:gridCol w:w="1243"/>
        <w:gridCol w:w="1509"/>
        <w:gridCol w:w="1130"/>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2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5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1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深圳市特力宝库供应链科技有限公司</w:t>
            </w:r>
          </w:p>
        </w:tc>
        <w:tc>
          <w:tcPr>
            <w:tcW w:w="12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内部往来款</w:t>
            </w: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40,051,509.11</w:t>
            </w:r>
          </w:p>
        </w:tc>
        <w:tc>
          <w:tcPr>
            <w:tcW w:w="11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0-2年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深圳中浩（集团）股份有限公司</w:t>
            </w:r>
          </w:p>
        </w:tc>
        <w:tc>
          <w:tcPr>
            <w:tcW w:w="12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11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3年以上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深圳市金贝丽电器有限公司</w:t>
            </w:r>
          </w:p>
        </w:tc>
        <w:tc>
          <w:tcPr>
            <w:tcW w:w="12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2,706,983.51</w:t>
            </w:r>
          </w:p>
        </w:tc>
        <w:tc>
          <w:tcPr>
            <w:tcW w:w="11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3年以上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2,706,983.51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深圳珠宝产业服务有限公司</w:t>
            </w:r>
          </w:p>
        </w:tc>
        <w:tc>
          <w:tcPr>
            <w:tcW w:w="12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内部往来款</w:t>
            </w: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2,275,281.59</w:t>
            </w:r>
          </w:p>
        </w:tc>
        <w:tc>
          <w:tcPr>
            <w:tcW w:w="11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0-2年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深圳石油化工(集团)股份有限公司</w:t>
            </w:r>
          </w:p>
        </w:tc>
        <w:tc>
          <w:tcPr>
            <w:tcW w:w="12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w:t>
            </w: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1,923,910.07</w:t>
            </w:r>
          </w:p>
        </w:tc>
        <w:tc>
          <w:tcPr>
            <w:tcW w:w="11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1,923,910.07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24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5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51,957,684.28</w:t>
            </w:r>
          </w:p>
        </w:tc>
        <w:tc>
          <w:tcPr>
            <w:tcW w:w="113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86.73%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9,630,893.58</w:t>
            </w:r>
          </w:p>
        </w:tc>
      </w:tr>
    </w:tbl>
    <w:p>
      <w:pPr>
        <w:spacing w:before="100" w:after="100" w:line="0" w:lineRule="exact"/>
        <w:jc w:val="left"/>
      </w:pPr>
    </w:p>
    <w:p>
      <w:pPr>
        <w:keepNext/>
        <w:keepLines/>
        <w:spacing w:before="300" w:after="300" w:line="280" w:lineRule="exact"/>
        <w:jc w:val="left"/>
        <w:outlineLvl w:val="2"/>
        <w:rPr>
          <w:rFonts w:ascii="宋体" w:hAnsi="宋体" w:eastAsia="宋体" w:cs="宋体"/>
          <w:b/>
          <w:bCs/>
          <w:sz w:val="21"/>
          <w:szCs w:val="21"/>
        </w:rPr>
      </w:pPr>
      <w:bookmarkStart w:id="411" w:name="_Toc989300"/>
      <w:r>
        <w:rPr>
          <w:rFonts w:ascii="宋体" w:hAnsi="宋体" w:eastAsia="宋体" w:cs="宋体"/>
          <w:b/>
          <w:bCs/>
          <w:sz w:val="21"/>
          <w:szCs w:val="21"/>
        </w:rPr>
        <w:t>3、长期股权投资</w:t>
      </w:r>
      <w:bookmarkEnd w:id="4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对子公司投资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696,131,539.12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694,175,539.12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786,245,472.73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784,289,472.73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对联营、合营企业投资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86,298,649.89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76,511,487.57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90,811,528.26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81,024,365.94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782,430,189.01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11,743,162.32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770,687,026.69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877,057,000.99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11,743,162.32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865,313,838.67</w:t>
            </w:r>
          </w:p>
        </w:tc>
      </w:tr>
    </w:tbl>
    <w:p>
      <w:pPr>
        <w:keepNext/>
        <w:keepLines/>
        <w:spacing w:before="300" w:after="300" w:line="280" w:lineRule="exact"/>
        <w:jc w:val="left"/>
        <w:outlineLvl w:val="3"/>
        <w:rPr>
          <w:rFonts w:ascii="宋体" w:hAnsi="宋体" w:eastAsia="宋体" w:cs="宋体"/>
          <w:b/>
          <w:bCs/>
          <w:sz w:val="21"/>
          <w:szCs w:val="21"/>
        </w:rPr>
      </w:pPr>
      <w:bookmarkStart w:id="412" w:name="_Toc989301"/>
      <w:r>
        <w:rPr>
          <w:rFonts w:ascii="宋体" w:hAnsi="宋体" w:eastAsia="宋体" w:cs="宋体"/>
          <w:b/>
          <w:bCs/>
          <w:sz w:val="21"/>
          <w:szCs w:val="21"/>
        </w:rPr>
        <w:t>（1） 对子公司投资</w:t>
      </w:r>
      <w:bookmarkEnd w:id="4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437"/>
        <w:gridCol w:w="1054"/>
        <w:gridCol w:w="857"/>
        <w:gridCol w:w="1140"/>
        <w:gridCol w:w="1020"/>
        <w:gridCol w:w="918"/>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143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105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减值准备期初余额</w:t>
            </w:r>
          </w:p>
        </w:tc>
        <w:tc>
          <w:tcPr>
            <w:tcW w:w="393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43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54" w:type="dxa"/>
            <w:vMerge w:val="continue"/>
            <w:tcBorders>
              <w:top w:val="single" w:color="auto" w:sz="2" w:space="0"/>
              <w:left w:val="single" w:color="auto" w:sz="2" w:space="0"/>
              <w:bottom w:val="single" w:color="auto" w:sz="2" w:space="0"/>
              <w:right w:val="single" w:color="auto" w:sz="2" w:space="0"/>
            </w:tcBorders>
            <w:vAlign w:val="center"/>
          </w:tcPr>
          <w:p/>
        </w:tc>
        <w:tc>
          <w:tcPr>
            <w:tcW w:w="85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11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10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9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深圳市特发特力房地产有限公司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31,152,888.87</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31,152,888.87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深圳市特力创盈科技有限公司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14,000,000.00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11,000,000.00</w:t>
            </w: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深圳市特力新永通汽车发展有限公司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57,672,885.22</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54,789,240.96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2,883,644.26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深圳市中天实业有限公司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369,680,522.90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369,680,522.90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深圳市汽车工业贸易有限公司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126,251,071.57</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126,251,071.57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深圳特发华日汽车企业有限公司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19,224,692.65</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19,224,692.65</w:t>
            </w: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深圳市华日丰田汽车销售服务有限公司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1,807,411.52</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1,807,411.52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深圳市新永通机动车检测设备有限公司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5,100,000.00</w:t>
            </w: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深圳市特力宝库供应链科技有限公司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深圳汉力高技术陶瓷有限公司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深圳珠宝产业服务有限公司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32,500,000.00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国润黄金（深圳）有限公司</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72,000,000.00</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4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784,289,472.73</w:t>
            </w:r>
          </w:p>
        </w:tc>
        <w:tc>
          <w:tcPr>
            <w:tcW w:w="10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c>
          <w:tcPr>
            <w:tcW w:w="85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1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35,324,692.65</w:t>
            </w:r>
          </w:p>
        </w:tc>
        <w:tc>
          <w:tcPr>
            <w:tcW w:w="10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54,789,240.96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694,175,539.12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1,956,000.00</w:t>
            </w:r>
          </w:p>
        </w:tc>
      </w:tr>
    </w:tbl>
    <w:p>
      <w:pPr>
        <w:keepNext/>
        <w:keepLines/>
        <w:spacing w:before="300" w:after="300" w:line="280" w:lineRule="exact"/>
        <w:jc w:val="left"/>
        <w:outlineLvl w:val="3"/>
        <w:rPr>
          <w:rFonts w:ascii="宋体" w:hAnsi="宋体" w:eastAsia="宋体" w:cs="宋体"/>
          <w:b/>
          <w:bCs/>
          <w:sz w:val="21"/>
          <w:szCs w:val="21"/>
        </w:rPr>
      </w:pPr>
      <w:bookmarkStart w:id="413" w:name="_Toc989302"/>
      <w:r>
        <w:rPr>
          <w:rFonts w:ascii="宋体" w:hAnsi="宋体" w:eastAsia="宋体" w:cs="宋体"/>
          <w:b/>
          <w:bCs/>
          <w:sz w:val="21"/>
          <w:szCs w:val="21"/>
        </w:rPr>
        <w:t>（2） 对联营、合营企业投资</w:t>
      </w:r>
      <w:bookmarkEnd w:id="4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减值准备期初余额</w:t>
            </w:r>
          </w:p>
        </w:tc>
        <w:tc>
          <w:tcPr>
            <w:tcW w:w="5932"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深圳特力吉盟投资有限公司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47,143,720.13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17,107,124.93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49,250,845.06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深圳市特力行投资有限公司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14,200,897.13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-898,585.53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13,302,311.60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小计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61,344,617.26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16,208,539.40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62,553,156.66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深圳市仁孚特力汽车服务有限公司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19,679,748.68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3,664,296.75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13,958,330.91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湖南昌阳实业股份有限公司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1,810,540.70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1,810,540.70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深圳捷成电子有限公司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3,225,000.00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深圳先导新材料有限公司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4,751,621.62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4,751,621.62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深圳特力汽车服务连锁有限公司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小计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19,679,748.68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3,664,296.75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13,958,330.91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81,024,365.94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24,385,714.52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76,511,487.57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9,787,162.32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可收回金额按公允价值减去处置费用后的净额确定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可收回金额按预计未来现金流量的现值确定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前述信息与以前年度减值测试采用的信息或外部信息明显不一致的差异原因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公司以前年度减值测试采用信息与当年实际情况明显不一致的差异原因</w:t>
      </w:r>
    </w:p>
    <w:p>
      <w:pPr>
        <w:keepNext/>
        <w:keepLines/>
        <w:spacing w:before="300" w:after="300" w:line="280" w:lineRule="exact"/>
        <w:jc w:val="left"/>
        <w:outlineLvl w:val="2"/>
        <w:rPr>
          <w:rFonts w:ascii="宋体" w:hAnsi="宋体" w:eastAsia="宋体" w:cs="宋体"/>
          <w:b/>
          <w:bCs/>
          <w:sz w:val="21"/>
          <w:szCs w:val="21"/>
        </w:rPr>
      </w:pPr>
      <w:bookmarkStart w:id="414" w:name="_Toc989303"/>
      <w:r>
        <w:rPr>
          <w:rFonts w:ascii="宋体" w:hAnsi="宋体" w:eastAsia="宋体" w:cs="宋体"/>
          <w:b/>
          <w:bCs/>
          <w:sz w:val="21"/>
          <w:szCs w:val="21"/>
        </w:rPr>
        <w:t>4、营业收入和营业成本</w:t>
      </w:r>
      <w:bookmarkEnd w:id="4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86,993,917.15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39,689,422.24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39,568,530.33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10,680,130.69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86,993,917.15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39,689,422.24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39,568,530.33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10,680,130.69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与分摊至剩余履约义务的交易价格相关的信息：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本报告期末已签订合同、但尚未履行或尚未履行完毕的履约义务所对应的收入金额为0.00元，其中，</w:t>
      </w:r>
      <w:r>
        <w:rPr>
          <w:rFonts w:hint="eastAsia" w:ascii="宋体" w:hAnsi="宋体" w:cs="宋体"/>
          <w:sz w:val="18"/>
          <w:szCs w:val="18"/>
          <w:lang w:val="en-US" w:eastAsia="zh-CN"/>
        </w:rPr>
        <w:t xml:space="preserve">  </w:t>
      </w:r>
      <w:r>
        <w:rPr>
          <w:rFonts w:ascii="宋体" w:hAnsi="宋体" w:eastAsia="宋体" w:cs="宋体"/>
          <w:sz w:val="18"/>
          <w:szCs w:val="18"/>
        </w:rPr>
        <w:t>元预计将于</w:t>
      </w:r>
      <w:r>
        <w:rPr>
          <w:rFonts w:hint="eastAsia" w:ascii="宋体" w:hAnsi="宋体" w:cs="宋体"/>
          <w:sz w:val="18"/>
          <w:szCs w:val="18"/>
          <w:lang w:val="en-US" w:eastAsia="zh-CN"/>
        </w:rPr>
        <w:t xml:space="preserve">  </w:t>
      </w:r>
      <w:r>
        <w:rPr>
          <w:rFonts w:ascii="宋体" w:hAnsi="宋体" w:eastAsia="宋体" w:cs="宋体"/>
          <w:sz w:val="18"/>
          <w:szCs w:val="18"/>
        </w:rPr>
        <w:t>年度确认收入，</w:t>
      </w:r>
      <w:r>
        <w:rPr>
          <w:rFonts w:hint="eastAsia" w:ascii="宋体" w:hAnsi="宋体" w:cs="宋体"/>
          <w:sz w:val="18"/>
          <w:szCs w:val="18"/>
          <w:lang w:val="en-US" w:eastAsia="zh-CN"/>
        </w:rPr>
        <w:t xml:space="preserve"> </w:t>
      </w:r>
      <w:r>
        <w:rPr>
          <w:rFonts w:ascii="宋体" w:hAnsi="宋体" w:eastAsia="宋体" w:cs="宋体"/>
          <w:sz w:val="18"/>
          <w:szCs w:val="18"/>
        </w:rPr>
        <w:t>元预计将于</w:t>
      </w:r>
      <w:r>
        <w:rPr>
          <w:rFonts w:hint="eastAsia" w:ascii="宋体" w:hAnsi="宋体" w:cs="宋体"/>
          <w:sz w:val="18"/>
          <w:szCs w:val="18"/>
          <w:lang w:val="en-US" w:eastAsia="zh-CN"/>
        </w:rPr>
        <w:t xml:space="preserve"> </w:t>
      </w:r>
      <w:r>
        <w:rPr>
          <w:rFonts w:ascii="宋体" w:hAnsi="宋体" w:eastAsia="宋体" w:cs="宋体"/>
          <w:sz w:val="18"/>
          <w:szCs w:val="18"/>
        </w:rPr>
        <w:t>年度确认收入，</w:t>
      </w:r>
      <w:r>
        <w:rPr>
          <w:rFonts w:hint="eastAsia" w:ascii="宋体" w:hAnsi="宋体" w:cs="宋体"/>
          <w:sz w:val="18"/>
          <w:szCs w:val="18"/>
          <w:lang w:val="en-US" w:eastAsia="zh-CN"/>
        </w:rPr>
        <w:t xml:space="preserve">  </w:t>
      </w:r>
      <w:r>
        <w:rPr>
          <w:rFonts w:ascii="宋体" w:hAnsi="宋体" w:eastAsia="宋体" w:cs="宋体"/>
          <w:sz w:val="18"/>
          <w:szCs w:val="18"/>
        </w:rPr>
        <w:t>元预计将于</w:t>
      </w:r>
      <w:r>
        <w:rPr>
          <w:rFonts w:hint="eastAsia" w:ascii="宋体" w:hAnsi="宋体" w:cs="宋体"/>
          <w:sz w:val="18"/>
          <w:szCs w:val="18"/>
          <w:lang w:val="en-US" w:eastAsia="zh-CN"/>
        </w:rPr>
        <w:t xml:space="preserve">  </w:t>
      </w:r>
      <w:r>
        <w:rPr>
          <w:rFonts w:ascii="宋体" w:hAnsi="宋体" w:eastAsia="宋体" w:cs="宋体"/>
          <w:sz w:val="18"/>
          <w:szCs w:val="18"/>
        </w:rPr>
        <w:t>年度确认收入。</w:t>
      </w:r>
    </w:p>
    <w:p>
      <w:pPr>
        <w:keepNext/>
        <w:keepLines/>
        <w:spacing w:before="300" w:after="300" w:line="280" w:lineRule="exact"/>
        <w:jc w:val="left"/>
        <w:outlineLvl w:val="2"/>
        <w:rPr>
          <w:rFonts w:ascii="宋体" w:hAnsi="宋体" w:eastAsia="宋体" w:cs="宋体"/>
          <w:b/>
          <w:bCs/>
          <w:sz w:val="21"/>
          <w:szCs w:val="21"/>
        </w:rPr>
      </w:pPr>
      <w:bookmarkStart w:id="415" w:name="_Toc989304"/>
      <w:r>
        <w:rPr>
          <w:rFonts w:ascii="宋体" w:hAnsi="宋体" w:eastAsia="宋体" w:cs="宋体"/>
          <w:b/>
          <w:bCs/>
          <w:sz w:val="21"/>
          <w:szCs w:val="21"/>
        </w:rPr>
        <w:t>5、投资收益</w:t>
      </w:r>
      <w:bookmarkEnd w:id="4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成本法核算的长期股权投资收益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69,369,094.20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244,000,000.00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权益法核算的长期股权投资收益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19,872,836.15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10,897,171.28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交易性金融资产在持有期间的投资收益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3,132,190.40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10,967,191.55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其他权益工具投资在持有期间取得的股利收入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1,305,581.86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4,921,596.99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丧失控制权后，剩余股权按公允价值重新计量产生的利得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67,398,061.79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164,693,779.53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267,169,944.69</w:t>
            </w:r>
          </w:p>
        </w:tc>
      </w:tr>
    </w:tbl>
    <w:p>
      <w:pPr>
        <w:keepNext/>
        <w:keepLines/>
        <w:spacing w:before="300" w:after="300" w:line="320" w:lineRule="exact"/>
        <w:jc w:val="left"/>
        <w:outlineLvl w:val="1"/>
        <w:rPr>
          <w:rFonts w:ascii="宋体" w:hAnsi="宋体" w:eastAsia="宋体" w:cs="宋体"/>
          <w:b/>
          <w:bCs/>
          <w:sz w:val="24"/>
          <w:szCs w:val="24"/>
        </w:rPr>
      </w:pPr>
      <w:bookmarkStart w:id="416" w:name="_Toc989305"/>
      <w:r>
        <w:rPr>
          <w:rFonts w:ascii="宋体" w:hAnsi="宋体" w:eastAsia="宋体" w:cs="宋体"/>
          <w:b/>
          <w:bCs/>
          <w:sz w:val="24"/>
          <w:szCs w:val="24"/>
        </w:rPr>
        <w:t>十八、补充资料</w:t>
      </w:r>
      <w:bookmarkEnd w:id="416"/>
    </w:p>
    <w:p>
      <w:pPr>
        <w:keepNext/>
        <w:keepLines/>
        <w:spacing w:before="300" w:after="300" w:line="280" w:lineRule="exact"/>
        <w:jc w:val="left"/>
        <w:outlineLvl w:val="2"/>
        <w:rPr>
          <w:rFonts w:ascii="宋体" w:hAnsi="宋体" w:eastAsia="宋体" w:cs="宋体"/>
          <w:b/>
          <w:bCs/>
          <w:sz w:val="21"/>
          <w:szCs w:val="21"/>
        </w:rPr>
      </w:pPr>
      <w:bookmarkStart w:id="417" w:name="_Toc989306"/>
      <w:r>
        <w:rPr>
          <w:rFonts w:ascii="宋体" w:hAnsi="宋体" w:eastAsia="宋体" w:cs="宋体"/>
          <w:b/>
          <w:bCs/>
          <w:sz w:val="21"/>
          <w:szCs w:val="21"/>
        </w:rPr>
        <w:t>1、当期非经常性损益明细表</w:t>
      </w:r>
      <w:bookmarkEnd w:id="417"/>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2789"/>
        <w:gridCol w:w="36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7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36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非流动性资产处置损益</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69,475,478.10</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主要为丧失子公司控制权后，剩余股权按公允价值重新计量产生的利得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计入当期损益的政府补助（与公司正常经营业务密切相关，符合国家政策规定、按照确定的标准享有、对公司损益产生持续影响的政府补助除外）</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6,476,027.99</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政府惠企政策补助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除同公司正常经营业务相关的有效套期保值业务外，非金融企业持有金融资产和金融负债产生的公允价值变动损益以及处置金融资产和金融负债产生的损益</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-9,882,368.06</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i w:val="0"/>
                <w:iCs w:val="0"/>
                <w:caps w:val="0"/>
                <w:color w:val="333333"/>
                <w:spacing w:val="0"/>
                <w:sz w:val="18"/>
                <w:szCs w:val="18"/>
                <w:shd w:val="clear" w:fill="FFFFFF"/>
              </w:rPr>
              <w:t>主要</w:t>
            </w:r>
            <w:r>
              <w:rPr>
                <w:rFonts w:hint="eastAsia" w:ascii="宋体" w:hAnsi="宋体" w:cs="宋体"/>
                <w:i w:val="0"/>
                <w:iCs w:val="0"/>
                <w:caps w:val="0"/>
                <w:color w:val="333333"/>
                <w:spacing w:val="0"/>
                <w:sz w:val="18"/>
                <w:szCs w:val="18"/>
                <w:shd w:val="clear" w:fill="FFFFFF"/>
                <w:lang w:val="en-US" w:eastAsia="zh-CN"/>
              </w:rPr>
              <w:t>为</w:t>
            </w:r>
            <w:r>
              <w:rPr>
                <w:rFonts w:ascii="宋体" w:hAnsi="宋体" w:eastAsia="宋体" w:cs="宋体"/>
                <w:sz w:val="18"/>
                <w:szCs w:val="18"/>
              </w:rPr>
              <w:t>丧失子公司控制权后，剩余股权年底重新评估公允价值变动损失</w:t>
            </w:r>
            <w:r>
              <w:rPr>
                <w:rFonts w:hint="eastAsia" w:ascii="宋体" w:hAnsi="宋体" w:eastAsia="宋体" w:cs="宋体"/>
                <w:i w:val="0"/>
                <w:iCs w:val="0"/>
                <w:caps w:val="0"/>
                <w:color w:val="333333"/>
                <w:spacing w:val="0"/>
                <w:sz w:val="18"/>
                <w:szCs w:val="18"/>
                <w:shd w:val="clear" w:fill="FFFFFF"/>
              </w:rPr>
              <w:t>、理财收益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单独进行减值测试的应收款项减值准备转回</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150,000.00</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已计提减值的保证金收回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2,089,529.20</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违约金和没收押金等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-36,363,757.77</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职工安置费等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13,674,541.65</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少数股东权益影响额（税后）</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-9,598,055.82</w:t>
            </w:r>
          </w:p>
        </w:tc>
        <w:tc>
          <w:tcPr>
            <w:tcW w:w="363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7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27,868,423.63</w:t>
            </w:r>
          </w:p>
        </w:tc>
        <w:tc>
          <w:tcPr>
            <w:tcW w:w="36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18" w:name="_Toc989307"/>
      <w:r>
        <w:rPr>
          <w:rFonts w:ascii="宋体" w:hAnsi="宋体" w:eastAsia="宋体" w:cs="宋体"/>
          <w:b/>
          <w:bCs/>
          <w:sz w:val="21"/>
          <w:szCs w:val="21"/>
        </w:rPr>
        <w:t>2、净资产收益率及每股收益</w:t>
      </w:r>
      <w:bookmarkEnd w:id="418"/>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报告期利润</w:t>
            </w:r>
          </w:p>
        </w:tc>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加权平均净资产收益率</w:t>
            </w:r>
          </w:p>
        </w:tc>
        <w:tc>
          <w:tcPr>
            <w:tcW w:w="482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每股收益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基本每股收益（元/股）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稀释每股收益（元/股）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0.2743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扣除非经常性损益后归属于公司普通股股东的净利润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w:t>
            </w:r>
            <w:r>
              <w:rPr>
                <w:rFonts w:hint="eastAsia" w:ascii="宋体" w:hAnsi="宋体" w:cs="宋体"/>
                <w:sz w:val="18"/>
                <w:szCs w:val="18"/>
                <w:lang w:val="en-US" w:eastAsia="zh-CN"/>
              </w:rPr>
              <w:t>0</w:t>
            </w:r>
            <w:r>
              <w:rPr>
                <w:rFonts w:ascii="宋体" w:hAnsi="宋体" w:eastAsia="宋体" w:cs="宋体"/>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w:t>
            </w:r>
            <w:r>
              <w:rPr>
                <w:rFonts w:hint="eastAsia" w:ascii="宋体" w:hAnsi="宋体" w:cs="宋体"/>
                <w:sz w:val="18"/>
                <w:szCs w:val="18"/>
                <w:lang w:val="en-US" w:eastAsia="zh-CN"/>
              </w:rPr>
              <w:t>097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w:t>
            </w:r>
            <w:r>
              <w:rPr>
                <w:rFonts w:hint="eastAsia" w:ascii="宋体" w:hAnsi="宋体" w:cs="宋体"/>
                <w:sz w:val="18"/>
                <w:szCs w:val="18"/>
                <w:lang w:val="en-US" w:eastAsia="zh-CN"/>
              </w:rPr>
              <w:t>097</w:t>
            </w:r>
          </w:p>
        </w:tc>
      </w:tr>
    </w:tbl>
    <w:p>
      <w:pPr>
        <w:keepNext/>
        <w:keepLines/>
        <w:spacing w:before="300" w:after="300" w:line="280" w:lineRule="exact"/>
        <w:jc w:val="left"/>
        <w:outlineLvl w:val="2"/>
        <w:rPr>
          <w:rFonts w:ascii="宋体" w:hAnsi="宋体" w:eastAsia="宋体" w:cs="宋体"/>
          <w:b/>
          <w:bCs/>
          <w:sz w:val="21"/>
          <w:szCs w:val="21"/>
        </w:rPr>
      </w:pPr>
      <w:bookmarkStart w:id="419" w:name="_Toc989308"/>
      <w:r>
        <w:rPr>
          <w:rFonts w:ascii="宋体" w:hAnsi="宋体" w:eastAsia="宋体" w:cs="宋体"/>
          <w:b/>
          <w:bCs/>
          <w:sz w:val="21"/>
          <w:szCs w:val="21"/>
        </w:rPr>
        <w:t>3、境内外会计准则下会计数据差异</w:t>
      </w:r>
      <w:bookmarkEnd w:id="419"/>
    </w:p>
    <w:p>
      <w:pPr>
        <w:keepNext/>
        <w:keepLines/>
        <w:spacing w:before="300" w:after="300" w:line="280" w:lineRule="exact"/>
        <w:jc w:val="left"/>
        <w:outlineLvl w:val="3"/>
        <w:rPr>
          <w:rFonts w:ascii="宋体" w:hAnsi="宋体" w:eastAsia="宋体" w:cs="宋体"/>
          <w:b/>
          <w:bCs/>
          <w:sz w:val="21"/>
          <w:szCs w:val="21"/>
        </w:rPr>
      </w:pPr>
      <w:bookmarkStart w:id="420" w:name="_Toc989309"/>
      <w:r>
        <w:rPr>
          <w:rFonts w:ascii="宋体" w:hAnsi="宋体" w:eastAsia="宋体" w:cs="宋体"/>
          <w:b/>
          <w:bCs/>
          <w:sz w:val="21"/>
          <w:szCs w:val="21"/>
        </w:rPr>
        <w:t>（1） 同时按照国际会计准则与按中国会计准则披露的财务报告中净利润和净资产差异情况</w:t>
      </w:r>
      <w:bookmarkEnd w:id="42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421" w:name="_Toc989310"/>
      <w:r>
        <w:rPr>
          <w:rFonts w:ascii="宋体" w:hAnsi="宋体" w:eastAsia="宋体" w:cs="宋体"/>
          <w:b/>
          <w:bCs/>
          <w:sz w:val="21"/>
          <w:szCs w:val="21"/>
        </w:rPr>
        <w:t>（2） 同时按照境外会计准则与按中国会计准则披露的财务报告中净利润和净资产差异情况</w:t>
      </w:r>
      <w:bookmarkEnd w:id="421"/>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422" w:name="_Toc989311"/>
      <w:r>
        <w:rPr>
          <w:rFonts w:ascii="宋体" w:hAnsi="宋体" w:eastAsia="宋体" w:cs="宋体"/>
          <w:b/>
          <w:bCs/>
          <w:sz w:val="21"/>
          <w:szCs w:val="21"/>
        </w:rPr>
        <w:t>（3） 境内外会计准则下会计数据差异原因说明，对已经境外审计机构审计的数据进行差异调节的，应注明该境外机构的名称</w:t>
      </w:r>
      <w:bookmarkEnd w:id="422"/>
    </w:p>
    <w:p>
      <w:pPr>
        <w:spacing w:before="100" w:after="100" w:line="0" w:lineRule="exact"/>
        <w:jc w:val="left"/>
      </w:pPr>
    </w:p>
    <w:sectPr>
      <w:headerReference r:id="rId3" w:type="default"/>
      <w:footerReference r:id="rId4" w:type="default"/>
      <w:pgSz w:w="11905" w:h="16840"/>
      <w:pgMar w:top="1440" w:right="1134" w:bottom="1440" w:left="1134" w:header="850"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深圳市特力(集团)股份有限公司2023年年度报告全文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5E306ED"/>
    <w:multiLevelType w:val="multilevel"/>
    <w:tmpl w:val="B5E306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F092B84"/>
    <w:multiLevelType w:val="multilevel"/>
    <w:tmpl w:val="CF092B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0248C179"/>
    <w:multiLevelType w:val="multilevel"/>
    <w:tmpl w:val="0248C1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03D62ECE"/>
    <w:multiLevelType w:val="multilevel"/>
    <w:tmpl w:val="03D62E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11FC202E"/>
    <w:multiLevelType w:val="singleLevel"/>
    <w:tmpl w:val="11FC202E"/>
    <w:lvl w:ilvl="0" w:tentative="0">
      <w:start w:val="2"/>
      <w:numFmt w:val="decimal"/>
      <w:suff w:val="nothing"/>
      <w:lvlText w:val="%1、"/>
      <w:lvlJc w:val="left"/>
    </w:lvl>
  </w:abstractNum>
  <w:abstractNum w:abstractNumId="7">
    <w:nsid w:val="25B654F3"/>
    <w:multiLevelType w:val="multilevel"/>
    <w:tmpl w:val="25B654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9ADCABA"/>
    <w:multiLevelType w:val="multilevel"/>
    <w:tmpl w:val="59ADCA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72183CF9"/>
    <w:multiLevelType w:val="multilevel"/>
    <w:tmpl w:val="72183C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6"/>
  </w:num>
  <w:num w:numId="2">
    <w:abstractNumId w:val="3"/>
  </w:num>
  <w:num w:numId="3">
    <w:abstractNumId w:val="8"/>
  </w:num>
  <w:num w:numId="4">
    <w:abstractNumId w:val="2"/>
  </w:num>
  <w:num w:numId="5">
    <w:abstractNumId w:val="1"/>
  </w:num>
  <w:num w:numId="6">
    <w:abstractNumId w:val="5"/>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
  <w:docVars>
    <w:docVar w:name="commondata" w:val="eyJoZGlkIjoiYzcwOGRhZTVhZjFjMGY1NGE4MmEzMjExNjM4ODFiMDcifQ=="/>
  </w:docVars>
  <w:rsids>
    <w:rsidRoot w:val="00000000"/>
    <w:rsid w:val="00A94D0F"/>
    <w:rsid w:val="012601E4"/>
    <w:rsid w:val="01463C70"/>
    <w:rsid w:val="02AC1C4C"/>
    <w:rsid w:val="03335837"/>
    <w:rsid w:val="03592EE3"/>
    <w:rsid w:val="078B414B"/>
    <w:rsid w:val="07A9647E"/>
    <w:rsid w:val="07EF46DA"/>
    <w:rsid w:val="08236132"/>
    <w:rsid w:val="08B422E5"/>
    <w:rsid w:val="09B6163B"/>
    <w:rsid w:val="0AE32AE4"/>
    <w:rsid w:val="0B594E9A"/>
    <w:rsid w:val="0CF046EC"/>
    <w:rsid w:val="0F6B4F9E"/>
    <w:rsid w:val="100F1591"/>
    <w:rsid w:val="11881551"/>
    <w:rsid w:val="12A566CC"/>
    <w:rsid w:val="12AD3128"/>
    <w:rsid w:val="14CE2017"/>
    <w:rsid w:val="150276A0"/>
    <w:rsid w:val="17C265D2"/>
    <w:rsid w:val="182F5242"/>
    <w:rsid w:val="18F519E6"/>
    <w:rsid w:val="19486114"/>
    <w:rsid w:val="195E2B79"/>
    <w:rsid w:val="196552C2"/>
    <w:rsid w:val="19AB35FE"/>
    <w:rsid w:val="1B020979"/>
    <w:rsid w:val="1C230636"/>
    <w:rsid w:val="1E087E38"/>
    <w:rsid w:val="1FDE2D39"/>
    <w:rsid w:val="1FEB0B37"/>
    <w:rsid w:val="20F56A22"/>
    <w:rsid w:val="2299755C"/>
    <w:rsid w:val="2346654E"/>
    <w:rsid w:val="27A11B00"/>
    <w:rsid w:val="282E5F84"/>
    <w:rsid w:val="283222B0"/>
    <w:rsid w:val="28E64551"/>
    <w:rsid w:val="2AF36600"/>
    <w:rsid w:val="2B603075"/>
    <w:rsid w:val="2C090FCE"/>
    <w:rsid w:val="2CAB47C4"/>
    <w:rsid w:val="2DCE08CE"/>
    <w:rsid w:val="2E1A39AF"/>
    <w:rsid w:val="2E690493"/>
    <w:rsid w:val="2F90471D"/>
    <w:rsid w:val="2FEF4A3D"/>
    <w:rsid w:val="3053234E"/>
    <w:rsid w:val="314E4466"/>
    <w:rsid w:val="31BA03B6"/>
    <w:rsid w:val="32DF6F20"/>
    <w:rsid w:val="33A76DE2"/>
    <w:rsid w:val="33C0186E"/>
    <w:rsid w:val="342F5CDB"/>
    <w:rsid w:val="349D5174"/>
    <w:rsid w:val="34AF188B"/>
    <w:rsid w:val="36062A6B"/>
    <w:rsid w:val="369D12D4"/>
    <w:rsid w:val="37DB4E4C"/>
    <w:rsid w:val="37E0392A"/>
    <w:rsid w:val="388B12FA"/>
    <w:rsid w:val="396E5939"/>
    <w:rsid w:val="3A1E7279"/>
    <w:rsid w:val="3A530B9E"/>
    <w:rsid w:val="3B417921"/>
    <w:rsid w:val="3D993571"/>
    <w:rsid w:val="3E535C33"/>
    <w:rsid w:val="400F1202"/>
    <w:rsid w:val="41406E31"/>
    <w:rsid w:val="418F34E5"/>
    <w:rsid w:val="41B82DF5"/>
    <w:rsid w:val="41F05C9D"/>
    <w:rsid w:val="428E6B5A"/>
    <w:rsid w:val="44393D26"/>
    <w:rsid w:val="447137A5"/>
    <w:rsid w:val="45CA062C"/>
    <w:rsid w:val="466C5F24"/>
    <w:rsid w:val="47F40975"/>
    <w:rsid w:val="48435922"/>
    <w:rsid w:val="48834134"/>
    <w:rsid w:val="48C4710D"/>
    <w:rsid w:val="49E7765B"/>
    <w:rsid w:val="4A2E2A77"/>
    <w:rsid w:val="4A484FA8"/>
    <w:rsid w:val="4B1B1426"/>
    <w:rsid w:val="4C705B7B"/>
    <w:rsid w:val="4DD9758F"/>
    <w:rsid w:val="502B3967"/>
    <w:rsid w:val="503F583C"/>
    <w:rsid w:val="51C85D50"/>
    <w:rsid w:val="52214464"/>
    <w:rsid w:val="52DF47BA"/>
    <w:rsid w:val="536C5D2B"/>
    <w:rsid w:val="543202D0"/>
    <w:rsid w:val="55480BE9"/>
    <w:rsid w:val="568A00DB"/>
    <w:rsid w:val="57461973"/>
    <w:rsid w:val="588B70D4"/>
    <w:rsid w:val="59D46859"/>
    <w:rsid w:val="5A36798A"/>
    <w:rsid w:val="5BF047D6"/>
    <w:rsid w:val="5D664A0F"/>
    <w:rsid w:val="5EEA4094"/>
    <w:rsid w:val="5F142C9B"/>
    <w:rsid w:val="5F426E8F"/>
    <w:rsid w:val="60AF62F9"/>
    <w:rsid w:val="60D81515"/>
    <w:rsid w:val="61673383"/>
    <w:rsid w:val="623D0ECD"/>
    <w:rsid w:val="62FD0BCE"/>
    <w:rsid w:val="63516141"/>
    <w:rsid w:val="645F255C"/>
    <w:rsid w:val="647E568E"/>
    <w:rsid w:val="65640C9B"/>
    <w:rsid w:val="65BE0014"/>
    <w:rsid w:val="68143D66"/>
    <w:rsid w:val="683C3541"/>
    <w:rsid w:val="69205616"/>
    <w:rsid w:val="69A7605A"/>
    <w:rsid w:val="6A364035"/>
    <w:rsid w:val="6BAE6821"/>
    <w:rsid w:val="6D160D80"/>
    <w:rsid w:val="6EC44AC1"/>
    <w:rsid w:val="70234C14"/>
    <w:rsid w:val="70BA4E45"/>
    <w:rsid w:val="713C4842"/>
    <w:rsid w:val="72A55914"/>
    <w:rsid w:val="73CF5CD5"/>
    <w:rsid w:val="745B7AD8"/>
    <w:rsid w:val="74831487"/>
    <w:rsid w:val="751D465E"/>
    <w:rsid w:val="76A068FA"/>
    <w:rsid w:val="7BE44FF8"/>
    <w:rsid w:val="7C823F60"/>
    <w:rsid w:val="7FC83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1"/>
    <w:basedOn w:val="1"/>
    <w:next w:val="1"/>
    <w:qFormat/>
    <w:uiPriority w:val="0"/>
    <w:pPr>
      <w:keepNext/>
      <w:widowControl/>
      <w:snapToGrid w:val="0"/>
      <w:spacing w:before="120" w:beforeLines="50" w:after="216" w:afterLines="90"/>
      <w:outlineLvl w:val="0"/>
    </w:pPr>
    <w:rPr>
      <w:rFonts w:ascii="Arial Narrow" w:hAnsi="Arial Narrow" w:eastAsia="仿宋_GB2312"/>
      <w:b/>
      <w:sz w:val="24"/>
      <w:szCs w:val="2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5"/>
    <w:next w:val="6"/>
    <w:semiHidden/>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5">
    <w:name w:val="heading 4"/>
    <w:basedOn w:val="1"/>
    <w:next w:val="6"/>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annotation text"/>
    <w:basedOn w:val="1"/>
    <w:qFormat/>
    <w:uiPriority w:val="0"/>
    <w:pPr>
      <w:jc w:val="left"/>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qFormat/>
    <w:uiPriority w:val="99"/>
    <w:rPr>
      <w:sz w:val="21"/>
    </w:rPr>
  </w:style>
  <w:style w:type="paragraph" w:customStyle="1" w:styleId="14">
    <w:name w:val="段落文字"/>
    <w:basedOn w:val="1"/>
    <w:qFormat/>
    <w:uiPriority w:val="0"/>
    <w:pPr>
      <w:autoSpaceDE w:val="0"/>
      <w:autoSpaceDN w:val="0"/>
      <w:spacing w:line="400" w:lineRule="exact"/>
      <w:ind w:firstLine="480" w:firstLineChars="200"/>
      <w:contextualSpacing/>
    </w:pPr>
    <w:rPr>
      <w:rFonts w:cs="宋体" w:eastAsiaTheme="minor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36</TotalTime>
  <ScaleCrop>false</ScaleCrop>
  <LinksUpToDate>false</LinksUpToDate>
  <Application>WPS Office_11.1.0.15309_F1E327BC-269C-435d-A152-05C5408002CA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2024-03-16T02:19:00Z</dcterms:created>
  <dc:creator>liu</dc:creator>
  <cp:lastModifiedBy>两点半</cp:lastModifiedBy>
  <dcterms:modified xsi:type="dcterms:W3CDTF">2024-03-29T02:19:57Z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968D4EE8CA3641628F8C3422CE495C81_13</vt:lpwstr>
  </property>
</Properties>
</file>