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9AE43">
      <w:pPr>
        <w:snapToGrid w:val="0"/>
        <w:ind w:firstLine="440" w:firstLineChars="200"/>
        <w:jc w:val="left"/>
        <w:rPr>
          <w:rFonts w:ascii="微软雅黑" w:hAnsi="微软雅黑" w:eastAsia="微软雅黑"/>
          <w:color w:val="333333"/>
          <w:sz w:val="22"/>
          <w:highlight w:val="none"/>
        </w:rPr>
      </w:pPr>
    </w:p>
    <w:p w14:paraId="1851CF49">
      <w:pPr>
        <w:snapToGrid w:val="0"/>
        <w:jc w:val="center"/>
        <w:outlineLvl w:val="0"/>
        <w:rPr>
          <w:rFonts w:ascii="微软雅黑" w:hAnsi="微软雅黑" w:eastAsia="微软雅黑"/>
          <w:color w:val="333333"/>
          <w:sz w:val="22"/>
          <w:highlight w:val="none"/>
        </w:rPr>
      </w:pPr>
      <w:r>
        <w:rPr>
          <w:rFonts w:ascii="宋体" w:hAnsi="宋体" w:eastAsia="宋体"/>
          <w:b/>
          <w:bCs/>
          <w:color w:val="000000"/>
          <w:sz w:val="44"/>
          <w:szCs w:val="44"/>
          <w:highlight w:val="none"/>
        </w:rPr>
        <w:t>投标邀请函</w:t>
      </w:r>
    </w:p>
    <w:p w14:paraId="0B969C47">
      <w:pPr>
        <w:snapToGrid w:val="0"/>
        <w:rPr>
          <w:rFonts w:ascii="微软雅黑" w:hAnsi="微软雅黑" w:eastAsia="微软雅黑"/>
          <w:color w:val="333333"/>
          <w:sz w:val="22"/>
          <w:highlight w:val="none"/>
        </w:rPr>
      </w:pPr>
    </w:p>
    <w:p w14:paraId="0131D5E2">
      <w:pPr>
        <w:snapToGrid w:val="0"/>
        <w:spacing w:line="560" w:lineRule="exact"/>
        <w:rPr>
          <w:rFonts w:ascii="微软雅黑" w:hAnsi="微软雅黑" w:eastAsia="微软雅黑"/>
          <w:color w:val="333333"/>
          <w:sz w:val="28"/>
          <w:szCs w:val="28"/>
          <w:highlight w:val="none"/>
        </w:rPr>
      </w:pPr>
      <w:r>
        <w:rPr>
          <w:rFonts w:ascii="仿宋" w:hAnsi="仿宋" w:eastAsia="仿宋"/>
          <w:color w:val="000000"/>
          <w:sz w:val="28"/>
          <w:szCs w:val="28"/>
          <w:highlight w:val="none"/>
        </w:rPr>
        <w:t>致：</w:t>
      </w:r>
      <w:r>
        <w:rPr>
          <w:rFonts w:ascii="仿宋" w:hAnsi="仿宋" w:eastAsia="仿宋"/>
          <w:color w:val="000000"/>
          <w:sz w:val="28"/>
          <w:szCs w:val="28"/>
          <w:highlight w:val="none"/>
          <w:u w:val="single"/>
        </w:rPr>
        <w:t>各投标人</w:t>
      </w:r>
    </w:p>
    <w:p w14:paraId="6112F531">
      <w:pPr>
        <w:snapToGrid w:val="0"/>
        <w:spacing w:line="560" w:lineRule="exact"/>
        <w:ind w:firstLine="560" w:firstLineChars="200"/>
        <w:rPr>
          <w:rFonts w:ascii="微软雅黑" w:hAnsi="微软雅黑" w:eastAsia="微软雅黑"/>
          <w:color w:val="333333"/>
          <w:sz w:val="28"/>
          <w:szCs w:val="28"/>
          <w:highlight w:val="none"/>
        </w:rPr>
      </w:pPr>
      <w:r>
        <w:rPr>
          <w:rFonts w:ascii="仿宋" w:hAnsi="仿宋" w:eastAsia="仿宋"/>
          <w:color w:val="000000"/>
          <w:sz w:val="28"/>
          <w:szCs w:val="28"/>
          <w:highlight w:val="none"/>
        </w:rPr>
        <w:t>我公司就</w:t>
      </w:r>
      <w:r>
        <w:rPr>
          <w:rFonts w:hint="eastAsia" w:ascii="仿宋" w:hAnsi="仿宋" w:eastAsia="仿宋"/>
          <w:color w:val="000000"/>
          <w:sz w:val="28"/>
          <w:szCs w:val="28"/>
          <w:highlight w:val="none"/>
          <w:u w:val="single"/>
          <w:lang w:eastAsia="zh-CN"/>
        </w:rPr>
        <w:t>特力金钻大厦年度维修工程</w:t>
      </w:r>
      <w:r>
        <w:rPr>
          <w:rFonts w:ascii="仿宋" w:hAnsi="仿宋" w:eastAsia="仿宋"/>
          <w:color w:val="000000"/>
          <w:sz w:val="28"/>
          <w:szCs w:val="28"/>
          <w:highlight w:val="none"/>
        </w:rPr>
        <w:t>的邀请招标，现邀请你单位参加。</w:t>
      </w:r>
    </w:p>
    <w:p w14:paraId="77C0199D">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项目概况</w:t>
      </w:r>
    </w:p>
    <w:p w14:paraId="376961CF">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本项目位于深圳市罗湖区</w:t>
      </w:r>
      <w:r>
        <w:rPr>
          <w:rFonts w:hint="eastAsia" w:ascii="仿宋" w:hAnsi="仿宋" w:eastAsia="仿宋"/>
          <w:color w:val="000000"/>
          <w:sz w:val="28"/>
          <w:szCs w:val="28"/>
          <w:highlight w:val="none"/>
          <w:lang w:eastAsia="zh-CN"/>
        </w:rPr>
        <w:t>特力金钻大厦</w:t>
      </w:r>
      <w:r>
        <w:rPr>
          <w:rFonts w:hint="eastAsia" w:ascii="仿宋" w:hAnsi="仿宋" w:eastAsia="仿宋"/>
          <w:color w:val="000000"/>
          <w:sz w:val="28"/>
          <w:szCs w:val="28"/>
          <w:highlight w:val="none"/>
          <w:lang w:val="en-US" w:eastAsia="zh-CN"/>
        </w:rPr>
        <w:t>内。</w:t>
      </w:r>
      <w:r>
        <w:rPr>
          <w:rFonts w:hint="eastAsia" w:ascii="仿宋" w:hAnsi="仿宋" w:eastAsia="仿宋"/>
          <w:color w:val="auto"/>
          <w:sz w:val="28"/>
          <w:szCs w:val="28"/>
        </w:rPr>
        <w:t>本项目主要工作内容为对已建成的</w:t>
      </w:r>
      <w:r>
        <w:rPr>
          <w:rFonts w:hint="eastAsia" w:ascii="仿宋" w:hAnsi="仿宋" w:eastAsia="仿宋"/>
          <w:color w:val="auto"/>
          <w:sz w:val="28"/>
          <w:szCs w:val="28"/>
          <w:lang w:eastAsia="zh-CN"/>
        </w:rPr>
        <w:t>特力金钻大厦</w:t>
      </w:r>
      <w:r>
        <w:rPr>
          <w:rFonts w:hint="eastAsia" w:ascii="仿宋" w:hAnsi="仿宋" w:eastAsia="仿宋"/>
          <w:color w:val="auto"/>
          <w:sz w:val="28"/>
          <w:szCs w:val="28"/>
          <w:lang w:val="en-US" w:eastAsia="zh-CN"/>
        </w:rPr>
        <w:t>进行</w:t>
      </w:r>
      <w:r>
        <w:rPr>
          <w:rFonts w:hint="eastAsia" w:ascii="仿宋" w:hAnsi="仿宋" w:eastAsia="仿宋"/>
          <w:color w:val="000000"/>
          <w:sz w:val="28"/>
          <w:szCs w:val="28"/>
          <w:highlight w:val="none"/>
          <w:u w:val="none"/>
          <w:lang w:val="en-US" w:eastAsia="zh-CN"/>
        </w:rPr>
        <w:t>年度</w:t>
      </w:r>
      <w:r>
        <w:rPr>
          <w:rFonts w:hint="eastAsia" w:ascii="仿宋" w:hAnsi="仿宋" w:eastAsia="仿宋"/>
          <w:color w:val="auto"/>
          <w:sz w:val="28"/>
          <w:szCs w:val="28"/>
        </w:rPr>
        <w:t>零星维修。</w:t>
      </w:r>
      <w:r>
        <w:rPr>
          <w:rFonts w:hint="eastAsia" w:ascii="仿宋" w:hAnsi="仿宋" w:eastAsia="仿宋"/>
          <w:color w:val="000000"/>
          <w:sz w:val="28"/>
          <w:szCs w:val="28"/>
          <w:highlight w:val="none"/>
        </w:rPr>
        <w:t>目前大厦</w:t>
      </w:r>
      <w:r>
        <w:rPr>
          <w:rFonts w:hint="eastAsia" w:ascii="仿宋" w:hAnsi="仿宋" w:eastAsia="仿宋"/>
          <w:color w:val="000000"/>
          <w:sz w:val="28"/>
          <w:szCs w:val="28"/>
          <w:highlight w:val="none"/>
          <w:lang w:val="en-US" w:eastAsia="zh-CN"/>
        </w:rPr>
        <w:t>已发现</w:t>
      </w:r>
      <w:r>
        <w:rPr>
          <w:rFonts w:hint="eastAsia" w:ascii="仿宋" w:hAnsi="仿宋" w:eastAsia="仿宋"/>
          <w:color w:val="000000"/>
          <w:sz w:val="28"/>
          <w:szCs w:val="28"/>
          <w:highlight w:val="none"/>
        </w:rPr>
        <w:t>约</w:t>
      </w:r>
      <w:r>
        <w:rPr>
          <w:rFonts w:hint="eastAsia" w:ascii="仿宋" w:hAnsi="仿宋" w:eastAsia="仿宋"/>
          <w:color w:val="000000"/>
          <w:sz w:val="28"/>
          <w:szCs w:val="28"/>
          <w:highlight w:val="none"/>
          <w:lang w:val="en-US" w:eastAsia="zh-CN"/>
        </w:rPr>
        <w:t>19</w:t>
      </w:r>
      <w:r>
        <w:rPr>
          <w:rFonts w:hint="eastAsia" w:ascii="仿宋" w:hAnsi="仿宋" w:eastAsia="仿宋"/>
          <w:color w:val="000000"/>
          <w:sz w:val="28"/>
          <w:szCs w:val="28"/>
          <w:highlight w:val="none"/>
        </w:rPr>
        <w:t>处</w:t>
      </w:r>
      <w:r>
        <w:rPr>
          <w:rFonts w:hint="eastAsia" w:ascii="仿宋" w:hAnsi="仿宋" w:eastAsia="仿宋"/>
          <w:color w:val="000000"/>
          <w:sz w:val="28"/>
          <w:szCs w:val="28"/>
          <w:highlight w:val="none"/>
          <w:lang w:val="en-US" w:eastAsia="zh-CN"/>
        </w:rPr>
        <w:t>亟待维修事项（详见附件2已有维修清单）</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特力金钻大厦</w:t>
      </w:r>
      <w:r>
        <w:rPr>
          <w:rFonts w:hint="eastAsia" w:ascii="仿宋" w:hAnsi="仿宋" w:eastAsia="仿宋"/>
          <w:color w:val="000000"/>
          <w:sz w:val="28"/>
          <w:szCs w:val="28"/>
          <w:highlight w:val="none"/>
        </w:rPr>
        <w:t>物业对环境保护要求严格，施工中需配合物业管理，按规定进行施工。</w:t>
      </w:r>
    </w:p>
    <w:p w14:paraId="3E0D9C8F">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招标内容</w:t>
      </w:r>
    </w:p>
    <w:p w14:paraId="513AE96D">
      <w:pPr>
        <w:snapToGrid w:val="0"/>
        <w:spacing w:line="560" w:lineRule="exact"/>
        <w:ind w:firstLine="560" w:firstLineChars="200"/>
        <w:rPr>
          <w:rFonts w:hint="eastAsia" w:ascii="仿宋" w:hAnsi="仿宋" w:eastAsia="仿宋"/>
          <w:color w:val="auto"/>
          <w:sz w:val="28"/>
          <w:szCs w:val="28"/>
        </w:rPr>
      </w:pPr>
      <w:r>
        <w:rPr>
          <w:rFonts w:hint="eastAsia" w:ascii="仿宋" w:hAnsi="仿宋" w:eastAsia="仿宋"/>
          <w:color w:val="000000"/>
          <w:sz w:val="28"/>
          <w:szCs w:val="28"/>
          <w:highlight w:val="none"/>
          <w:u w:val="none"/>
          <w:lang w:eastAsia="zh-CN"/>
        </w:rPr>
        <w:t>特力金钻大厦年度维修工程</w:t>
      </w:r>
      <w:r>
        <w:rPr>
          <w:rFonts w:ascii="仿宋" w:hAnsi="仿宋" w:eastAsia="仿宋"/>
          <w:color w:val="000000"/>
          <w:sz w:val="28"/>
          <w:szCs w:val="28"/>
          <w:highlight w:val="none"/>
          <w:u w:val="none"/>
        </w:rPr>
        <w:t>包括但不限</w:t>
      </w:r>
      <w:bookmarkStart w:id="0" w:name="_GoBack"/>
      <w:bookmarkEnd w:id="0"/>
      <w:r>
        <w:rPr>
          <w:rFonts w:ascii="仿宋" w:hAnsi="仿宋" w:eastAsia="仿宋"/>
          <w:color w:val="000000"/>
          <w:sz w:val="28"/>
          <w:szCs w:val="28"/>
          <w:highlight w:val="none"/>
          <w:u w:val="none"/>
        </w:rPr>
        <w:t>于：</w:t>
      </w:r>
      <w:r>
        <w:rPr>
          <w:rFonts w:hint="eastAsia" w:ascii="仿宋" w:hAnsi="仿宋" w:eastAsia="仿宋"/>
          <w:color w:val="auto"/>
          <w:sz w:val="28"/>
          <w:szCs w:val="28"/>
          <w:u w:val="none"/>
        </w:rPr>
        <w:t>装修工程修补、机电（给排水、暖通、强弱电、消防等）系统维修改造、孔洞封堵、防水补漏、幕墙工程维修</w:t>
      </w:r>
      <w:r>
        <w:rPr>
          <w:rFonts w:hint="eastAsia" w:ascii="仿宋" w:hAnsi="仿宋" w:eastAsia="仿宋"/>
          <w:color w:val="000000"/>
          <w:sz w:val="28"/>
          <w:szCs w:val="28"/>
          <w:highlight w:val="none"/>
        </w:rPr>
        <w:t>、工程质量保修期内免费保修等。</w:t>
      </w:r>
      <w:r>
        <w:rPr>
          <w:rFonts w:hint="eastAsia" w:ascii="仿宋" w:hAnsi="仿宋" w:eastAsia="仿宋"/>
          <w:color w:val="000000"/>
          <w:sz w:val="28"/>
          <w:szCs w:val="28"/>
          <w:highlight w:val="none"/>
          <w:lang w:val="en-US" w:eastAsia="zh-CN"/>
        </w:rPr>
        <w:t>对</w:t>
      </w:r>
      <w:r>
        <w:rPr>
          <w:rFonts w:hint="eastAsia" w:ascii="仿宋" w:hAnsi="仿宋" w:eastAsia="仿宋"/>
          <w:color w:val="auto"/>
          <w:sz w:val="28"/>
          <w:szCs w:val="28"/>
          <w:lang w:val="en-US" w:eastAsia="zh-CN"/>
        </w:rPr>
        <w:t>合同期内</w:t>
      </w:r>
      <w:r>
        <w:rPr>
          <w:rFonts w:hint="eastAsia" w:ascii="仿宋" w:hAnsi="仿宋" w:eastAsia="仿宋"/>
          <w:color w:val="auto"/>
          <w:sz w:val="28"/>
          <w:szCs w:val="28"/>
        </w:rPr>
        <w:t>发现</w:t>
      </w:r>
      <w:r>
        <w:rPr>
          <w:rFonts w:hint="eastAsia" w:ascii="仿宋" w:hAnsi="仿宋" w:eastAsia="仿宋"/>
          <w:color w:val="auto"/>
          <w:sz w:val="28"/>
          <w:szCs w:val="28"/>
          <w:lang w:val="en-US" w:eastAsia="zh-CN"/>
        </w:rPr>
        <w:t>其他</w:t>
      </w:r>
      <w:r>
        <w:rPr>
          <w:rFonts w:hint="eastAsia" w:ascii="仿宋" w:hAnsi="仿宋" w:eastAsia="仿宋"/>
          <w:color w:val="auto"/>
          <w:sz w:val="28"/>
          <w:szCs w:val="28"/>
        </w:rPr>
        <w:t>需维修事项，维修事项自接到</w:t>
      </w:r>
      <w:r>
        <w:rPr>
          <w:rFonts w:hint="eastAsia" w:ascii="仿宋" w:hAnsi="仿宋" w:eastAsia="仿宋"/>
          <w:color w:val="auto"/>
          <w:sz w:val="28"/>
          <w:szCs w:val="28"/>
          <w:lang w:val="en-US" w:eastAsia="zh-CN"/>
        </w:rPr>
        <w:t>招标人</w:t>
      </w:r>
      <w:r>
        <w:rPr>
          <w:rFonts w:hint="eastAsia" w:ascii="仿宋" w:hAnsi="仿宋" w:eastAsia="仿宋"/>
          <w:color w:val="auto"/>
          <w:sz w:val="28"/>
          <w:szCs w:val="28"/>
        </w:rPr>
        <w:t>通知</w:t>
      </w:r>
      <w:r>
        <w:rPr>
          <w:rFonts w:hint="eastAsia" w:ascii="仿宋" w:hAnsi="仿宋" w:eastAsia="仿宋"/>
          <w:color w:val="auto"/>
          <w:sz w:val="28"/>
          <w:szCs w:val="28"/>
          <w:lang w:val="en-US" w:eastAsia="zh-CN"/>
        </w:rPr>
        <w:t>之日</w:t>
      </w:r>
      <w:r>
        <w:rPr>
          <w:rFonts w:hint="eastAsia" w:ascii="仿宋" w:hAnsi="仿宋" w:eastAsia="仿宋"/>
          <w:color w:val="auto"/>
          <w:sz w:val="28"/>
          <w:szCs w:val="28"/>
        </w:rPr>
        <w:t>起，</w:t>
      </w:r>
      <w:r>
        <w:rPr>
          <w:rFonts w:hint="eastAsia" w:ascii="仿宋" w:hAnsi="仿宋" w:eastAsia="仿宋"/>
          <w:color w:val="auto"/>
          <w:sz w:val="28"/>
          <w:szCs w:val="28"/>
          <w:lang w:val="en-US" w:eastAsia="zh-CN"/>
        </w:rPr>
        <w:t>14</w:t>
      </w:r>
      <w:r>
        <w:rPr>
          <w:rFonts w:hint="eastAsia" w:ascii="仿宋" w:hAnsi="仿宋" w:eastAsia="仿宋"/>
          <w:color w:val="auto"/>
          <w:sz w:val="28"/>
          <w:szCs w:val="28"/>
        </w:rPr>
        <w:t>个日历天内完成维修，因特殊事项需较长维修时间的，由</w:t>
      </w:r>
      <w:r>
        <w:rPr>
          <w:rFonts w:hint="eastAsia" w:ascii="仿宋" w:hAnsi="仿宋" w:eastAsia="仿宋"/>
          <w:color w:val="auto"/>
          <w:sz w:val="28"/>
          <w:szCs w:val="28"/>
          <w:lang w:val="en-US" w:eastAsia="zh-CN"/>
        </w:rPr>
        <w:t>中标人</w:t>
      </w:r>
      <w:r>
        <w:rPr>
          <w:rFonts w:hint="eastAsia" w:ascii="仿宋" w:hAnsi="仿宋" w:eastAsia="仿宋"/>
          <w:color w:val="auto"/>
          <w:sz w:val="28"/>
          <w:szCs w:val="28"/>
        </w:rPr>
        <w:t>在提报维修（改造）方案及造价预算中列明工期计划，报</w:t>
      </w:r>
      <w:r>
        <w:rPr>
          <w:rFonts w:hint="eastAsia" w:ascii="仿宋" w:hAnsi="仿宋" w:eastAsia="仿宋"/>
          <w:color w:val="auto"/>
          <w:sz w:val="28"/>
          <w:szCs w:val="28"/>
          <w:lang w:val="en-US" w:eastAsia="zh-CN"/>
        </w:rPr>
        <w:t>招标人</w:t>
      </w:r>
      <w:r>
        <w:rPr>
          <w:rFonts w:hint="eastAsia" w:ascii="仿宋" w:hAnsi="仿宋" w:eastAsia="仿宋"/>
          <w:color w:val="auto"/>
          <w:sz w:val="28"/>
          <w:szCs w:val="28"/>
        </w:rPr>
        <w:t>审批后实施。</w:t>
      </w:r>
    </w:p>
    <w:p w14:paraId="12D3D67C">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承包方式</w:t>
      </w:r>
    </w:p>
    <w:p w14:paraId="269C8586">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包工、包料、包工期、包质量、包安全、包文明施工、包施工措施、包竣工验收等承包人为履行本合同义务所需的所有费用。</w:t>
      </w:r>
    </w:p>
    <w:p w14:paraId="5F5BDB5F">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支付方式</w:t>
      </w:r>
    </w:p>
    <w:p w14:paraId="76F5A940">
      <w:pPr>
        <w:numPr>
          <w:ilvl w:val="0"/>
          <w:numId w:val="2"/>
        </w:numPr>
        <w:snapToGrid w:val="0"/>
        <w:spacing w:line="560" w:lineRule="exact"/>
        <w:ind w:firstLine="560" w:firstLineChars="200"/>
        <w:rPr>
          <w:rStyle w:val="19"/>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合同暂定价为¥</w:t>
      </w:r>
      <w:r>
        <w:rPr>
          <w:rFonts w:hint="eastAsia" w:ascii="仿宋" w:hAnsi="仿宋" w:eastAsia="仿宋"/>
          <w:color w:val="000000"/>
          <w:sz w:val="28"/>
          <w:szCs w:val="28"/>
          <w:highlight w:val="none"/>
          <w:lang w:val="en-US" w:eastAsia="zh-CN"/>
        </w:rPr>
        <w:t>482</w:t>
      </w:r>
      <w:r>
        <w:rPr>
          <w:rFonts w:hint="eastAsia" w:ascii="仿宋" w:hAnsi="仿宋" w:eastAsia="仿宋"/>
          <w:color w:val="000000"/>
          <w:sz w:val="28"/>
          <w:szCs w:val="28"/>
          <w:highlight w:val="none"/>
          <w:lang w:eastAsia="zh-CN"/>
        </w:rPr>
        <w:t>,000.00元（大写：人民币肆拾捌万贰仟元整）。</w:t>
      </w:r>
    </w:p>
    <w:p w14:paraId="735C42AE">
      <w:pPr>
        <w:numPr>
          <w:ilvl w:val="0"/>
          <w:numId w:val="2"/>
        </w:numPr>
        <w:snapToGrid w:val="0"/>
        <w:spacing w:line="560" w:lineRule="exact"/>
        <w:ind w:firstLine="560" w:firstLineChars="200"/>
        <w:rPr>
          <w:rStyle w:val="22"/>
          <w:rFonts w:hint="eastAsia" w:ascii="仿宋" w:hAnsi="仿宋" w:eastAsia="仿宋"/>
          <w:color w:val="000000"/>
          <w:sz w:val="28"/>
          <w:szCs w:val="28"/>
          <w:highlight w:val="none"/>
          <w:lang w:val="en-US" w:eastAsia="zh-CN"/>
        </w:rPr>
      </w:pPr>
      <w:r>
        <w:rPr>
          <w:rStyle w:val="22"/>
          <w:rFonts w:hint="eastAsia" w:ascii="仿宋" w:hAnsi="仿宋" w:eastAsia="仿宋"/>
          <w:color w:val="000000"/>
          <w:sz w:val="28"/>
          <w:szCs w:val="28"/>
          <w:highlight w:val="none"/>
          <w:lang w:val="en-US" w:eastAsia="zh-CN"/>
        </w:rPr>
        <w:t>自合同签订之日起一年内</w:t>
      </w:r>
      <w:r>
        <w:rPr>
          <w:rFonts w:hint="eastAsia" w:ascii="仿宋" w:hAnsi="仿宋" w:eastAsia="仿宋"/>
          <w:color w:val="000000"/>
          <w:sz w:val="28"/>
          <w:szCs w:val="28"/>
          <w:highlight w:val="none"/>
          <w:lang w:eastAsia="zh-CN"/>
        </w:rPr>
        <w:t>累计维修工程费上限</w:t>
      </w:r>
      <w:r>
        <w:rPr>
          <w:rFonts w:hint="eastAsia" w:ascii="仿宋" w:hAnsi="仿宋" w:eastAsia="仿宋"/>
          <w:color w:val="000000"/>
          <w:sz w:val="28"/>
          <w:szCs w:val="28"/>
          <w:highlight w:val="none"/>
          <w:lang w:val="en-US" w:eastAsia="zh-CN"/>
        </w:rPr>
        <w:t>48.2</w:t>
      </w:r>
      <w:r>
        <w:rPr>
          <w:rFonts w:hint="eastAsia" w:ascii="仿宋" w:hAnsi="仿宋" w:eastAsia="仿宋"/>
          <w:color w:val="000000"/>
          <w:sz w:val="28"/>
          <w:szCs w:val="28"/>
          <w:highlight w:val="none"/>
          <w:lang w:eastAsia="zh-CN"/>
        </w:rPr>
        <w:t>万元（实际未达到上限价的，以实际产生为准）。</w:t>
      </w:r>
    </w:p>
    <w:p w14:paraId="3B850F1C">
      <w:pPr>
        <w:numPr>
          <w:ilvl w:val="0"/>
          <w:numId w:val="2"/>
        </w:numPr>
        <w:snapToGrid w:val="0"/>
        <w:spacing w:line="560" w:lineRule="exact"/>
        <w:ind w:firstLine="560" w:firstLineChars="200"/>
        <w:rPr>
          <w:rStyle w:val="22"/>
          <w:rFonts w:hint="eastAsia" w:ascii="仿宋" w:hAnsi="仿宋" w:eastAsia="仿宋"/>
          <w:color w:val="000000"/>
          <w:sz w:val="28"/>
          <w:szCs w:val="28"/>
          <w:highlight w:val="none"/>
          <w:lang w:val="en-US" w:eastAsia="zh-CN"/>
        </w:rPr>
      </w:pPr>
      <w:r>
        <w:rPr>
          <w:rStyle w:val="22"/>
          <w:rFonts w:ascii="仿宋" w:hAnsi="仿宋" w:eastAsia="仿宋"/>
          <w:color w:val="000000"/>
          <w:sz w:val="28"/>
          <w:szCs w:val="28"/>
          <w:highlight w:val="none"/>
        </w:rPr>
        <w:t>结算款：</w:t>
      </w:r>
      <w:r>
        <w:rPr>
          <w:rStyle w:val="22"/>
          <w:rFonts w:hint="eastAsia" w:ascii="仿宋" w:hAnsi="仿宋" w:eastAsia="仿宋"/>
          <w:color w:val="000000"/>
          <w:sz w:val="28"/>
          <w:szCs w:val="28"/>
          <w:highlight w:val="none"/>
        </w:rPr>
        <w:t>工程费用按月支付</w:t>
      </w:r>
      <w:r>
        <w:rPr>
          <w:rStyle w:val="22"/>
          <w:rFonts w:hint="eastAsia" w:ascii="仿宋" w:hAnsi="仿宋" w:eastAsia="仿宋"/>
          <w:color w:val="000000"/>
          <w:sz w:val="28"/>
          <w:szCs w:val="28"/>
          <w:highlight w:val="none"/>
          <w:lang w:eastAsia="zh-CN"/>
        </w:rPr>
        <w:t>（</w:t>
      </w:r>
      <w:r>
        <w:rPr>
          <w:rStyle w:val="22"/>
          <w:rFonts w:hint="eastAsia" w:ascii="仿宋" w:hAnsi="仿宋" w:eastAsia="仿宋"/>
          <w:color w:val="000000"/>
          <w:sz w:val="28"/>
          <w:szCs w:val="28"/>
          <w:highlight w:val="none"/>
          <w:lang w:val="en-US" w:eastAsia="zh-CN"/>
        </w:rPr>
        <w:t>若有）</w:t>
      </w:r>
      <w:r>
        <w:rPr>
          <w:rStyle w:val="22"/>
          <w:rFonts w:hint="eastAsia" w:ascii="仿宋" w:hAnsi="仿宋" w:eastAsia="仿宋"/>
          <w:color w:val="000000"/>
          <w:sz w:val="28"/>
          <w:szCs w:val="28"/>
          <w:highlight w:val="none"/>
        </w:rPr>
        <w:t>，维修工程按月进行批量验收合格并且工程造价经甲方聘请的造价咨询单位审核后，支付至审核当月造价的97%。</w:t>
      </w:r>
    </w:p>
    <w:p w14:paraId="208F25B0">
      <w:pPr>
        <w:numPr>
          <w:ilvl w:val="0"/>
          <w:numId w:val="2"/>
        </w:numPr>
        <w:snapToGrid w:val="0"/>
        <w:spacing w:line="560" w:lineRule="exact"/>
        <w:ind w:firstLine="560" w:firstLineChars="200"/>
        <w:rPr>
          <w:rStyle w:val="22"/>
          <w:rFonts w:hint="eastAsia" w:ascii="仿宋" w:hAnsi="仿宋" w:eastAsia="仿宋"/>
          <w:color w:val="000000"/>
          <w:sz w:val="28"/>
          <w:szCs w:val="28"/>
          <w:highlight w:val="none"/>
          <w:lang w:val="en-US" w:eastAsia="zh-CN"/>
        </w:rPr>
      </w:pPr>
      <w:r>
        <w:rPr>
          <w:rStyle w:val="22"/>
          <w:rFonts w:hint="eastAsia" w:ascii="仿宋" w:hAnsi="仿宋" w:eastAsia="仿宋"/>
          <w:color w:val="000000"/>
          <w:sz w:val="28"/>
          <w:szCs w:val="28"/>
          <w:highlight w:val="none"/>
          <w:lang w:val="en-US" w:eastAsia="zh-CN"/>
        </w:rPr>
        <w:t>其他详见合同“第四条 费用及付款方式”。</w:t>
      </w:r>
    </w:p>
    <w:p w14:paraId="025132EA">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工期要求</w:t>
      </w:r>
    </w:p>
    <w:p w14:paraId="1558D23C">
      <w:pPr>
        <w:snapToGrid w:val="0"/>
        <w:spacing w:line="5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总体维修合同工期</w:t>
      </w:r>
      <w:r>
        <w:rPr>
          <w:rFonts w:hint="eastAsia" w:ascii="仿宋" w:hAnsi="仿宋" w:eastAsia="仿宋"/>
          <w:color w:val="auto"/>
          <w:sz w:val="28"/>
          <w:szCs w:val="28"/>
          <w:lang w:val="en-US" w:eastAsia="zh-CN"/>
        </w:rPr>
        <w:t>按实际计算</w:t>
      </w:r>
      <w:r>
        <w:rPr>
          <w:rFonts w:hint="eastAsia" w:ascii="仿宋" w:hAnsi="仿宋" w:eastAsia="仿宋"/>
          <w:color w:val="auto"/>
          <w:sz w:val="28"/>
          <w:szCs w:val="28"/>
        </w:rPr>
        <w:t>，</w:t>
      </w:r>
      <w:r>
        <w:rPr>
          <w:rFonts w:hint="eastAsia" w:ascii="仿宋" w:hAnsi="仿宋" w:eastAsia="仿宋"/>
          <w:color w:val="auto"/>
          <w:sz w:val="28"/>
          <w:szCs w:val="28"/>
          <w:lang w:val="en-US" w:eastAsia="zh-CN"/>
        </w:rPr>
        <w:t>自</w:t>
      </w:r>
      <w:r>
        <w:rPr>
          <w:rFonts w:hint="eastAsia" w:ascii="仿宋" w:hAnsi="仿宋" w:eastAsia="仿宋"/>
          <w:color w:val="auto"/>
          <w:sz w:val="28"/>
          <w:szCs w:val="28"/>
        </w:rPr>
        <w:t>合同签订之日起</w:t>
      </w:r>
      <w:r>
        <w:rPr>
          <w:rFonts w:hint="eastAsia" w:ascii="仿宋" w:hAnsi="仿宋" w:eastAsia="仿宋"/>
          <w:color w:val="auto"/>
          <w:sz w:val="28"/>
          <w:szCs w:val="28"/>
          <w:lang w:val="en-US" w:eastAsia="zh-CN"/>
        </w:rPr>
        <w:t>一年内</w:t>
      </w:r>
      <w:r>
        <w:rPr>
          <w:rFonts w:hint="eastAsia" w:ascii="仿宋" w:hAnsi="仿宋" w:eastAsia="仿宋"/>
          <w:color w:val="auto"/>
          <w:sz w:val="28"/>
          <w:szCs w:val="28"/>
        </w:rPr>
        <w:t>，对已查明需维修事项（详见</w:t>
      </w:r>
      <w:r>
        <w:rPr>
          <w:rFonts w:hint="eastAsia" w:ascii="仿宋" w:hAnsi="仿宋" w:eastAsia="仿宋"/>
          <w:color w:val="auto"/>
          <w:sz w:val="28"/>
          <w:szCs w:val="28"/>
          <w:lang w:val="en-US" w:eastAsia="zh-CN"/>
        </w:rPr>
        <w:t>附件2已有维修清单</w:t>
      </w:r>
      <w:r>
        <w:rPr>
          <w:rFonts w:hint="eastAsia" w:ascii="仿宋" w:hAnsi="仿宋" w:eastAsia="仿宋"/>
          <w:color w:val="auto"/>
          <w:sz w:val="28"/>
          <w:szCs w:val="28"/>
        </w:rPr>
        <w:t>），</w:t>
      </w:r>
      <w:r>
        <w:rPr>
          <w:rFonts w:hint="eastAsia" w:ascii="仿宋" w:hAnsi="仿宋" w:eastAsia="仿宋"/>
          <w:color w:val="auto"/>
          <w:sz w:val="28"/>
          <w:szCs w:val="28"/>
          <w:lang w:val="en-US" w:eastAsia="zh-CN"/>
        </w:rPr>
        <w:t>自开工令发出后，</w:t>
      </w:r>
      <w:r>
        <w:rPr>
          <w:rFonts w:hint="eastAsia" w:ascii="仿宋" w:hAnsi="仿宋" w:eastAsia="仿宋"/>
          <w:color w:val="auto"/>
          <w:sz w:val="28"/>
          <w:szCs w:val="28"/>
        </w:rPr>
        <w:t>需在</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个月内完成全部维修，</w:t>
      </w:r>
      <w:r>
        <w:rPr>
          <w:rFonts w:hint="eastAsia" w:ascii="仿宋" w:hAnsi="仿宋" w:eastAsia="仿宋"/>
          <w:color w:val="auto"/>
          <w:sz w:val="28"/>
          <w:szCs w:val="28"/>
          <w:lang w:val="en-US" w:eastAsia="zh-CN"/>
        </w:rPr>
        <w:t>对合同期内</w:t>
      </w:r>
      <w:r>
        <w:rPr>
          <w:rFonts w:hint="eastAsia" w:ascii="仿宋" w:hAnsi="仿宋" w:eastAsia="仿宋"/>
          <w:color w:val="auto"/>
          <w:sz w:val="28"/>
          <w:szCs w:val="28"/>
        </w:rPr>
        <w:t>发现</w:t>
      </w:r>
      <w:r>
        <w:rPr>
          <w:rFonts w:hint="eastAsia" w:ascii="仿宋" w:hAnsi="仿宋" w:eastAsia="仿宋"/>
          <w:color w:val="auto"/>
          <w:sz w:val="28"/>
          <w:szCs w:val="28"/>
          <w:lang w:val="en-US" w:eastAsia="zh-CN"/>
        </w:rPr>
        <w:t>其他</w:t>
      </w:r>
      <w:r>
        <w:rPr>
          <w:rFonts w:hint="eastAsia" w:ascii="仿宋" w:hAnsi="仿宋" w:eastAsia="仿宋"/>
          <w:color w:val="auto"/>
          <w:sz w:val="28"/>
          <w:szCs w:val="28"/>
        </w:rPr>
        <w:t>需维修事项，维修事项自接到甲方</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招标人）开工令之日</w:t>
      </w:r>
      <w:r>
        <w:rPr>
          <w:rFonts w:hint="eastAsia" w:ascii="仿宋" w:hAnsi="仿宋" w:eastAsia="仿宋"/>
          <w:color w:val="auto"/>
          <w:sz w:val="28"/>
          <w:szCs w:val="28"/>
        </w:rPr>
        <w:t>起，</w:t>
      </w:r>
      <w:r>
        <w:rPr>
          <w:rFonts w:hint="eastAsia" w:ascii="仿宋" w:hAnsi="仿宋" w:eastAsia="仿宋"/>
          <w:color w:val="auto"/>
          <w:sz w:val="28"/>
          <w:szCs w:val="28"/>
          <w:lang w:val="en-US" w:eastAsia="zh-CN"/>
        </w:rPr>
        <w:t>14</w:t>
      </w:r>
      <w:r>
        <w:rPr>
          <w:rFonts w:hint="eastAsia" w:ascii="仿宋" w:hAnsi="仿宋" w:eastAsia="仿宋"/>
          <w:color w:val="auto"/>
          <w:sz w:val="28"/>
          <w:szCs w:val="28"/>
        </w:rPr>
        <w:t>个日历天内完成维修，因特殊事项需较长维修时间的，由施工单位在提报维修（改造）方案及造价预算中列明工期计划，报甲方审批后实施。</w:t>
      </w:r>
    </w:p>
    <w:p w14:paraId="20B7C5FD">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auto"/>
          <w:sz w:val="28"/>
          <w:szCs w:val="28"/>
        </w:rPr>
        <w:t>若实际</w:t>
      </w:r>
      <w:r>
        <w:rPr>
          <w:rFonts w:hint="eastAsia" w:ascii="仿宋" w:hAnsi="仿宋" w:eastAsia="仿宋"/>
          <w:color w:val="auto"/>
          <w:sz w:val="28"/>
          <w:szCs w:val="28"/>
          <w:lang w:val="en-US" w:eastAsia="zh-CN"/>
        </w:rPr>
        <w:t>实施</w:t>
      </w:r>
      <w:r>
        <w:rPr>
          <w:rFonts w:hint="eastAsia" w:ascii="仿宋" w:hAnsi="仿宋" w:eastAsia="仿宋"/>
          <w:color w:val="auto"/>
          <w:sz w:val="28"/>
          <w:szCs w:val="28"/>
        </w:rPr>
        <w:t>维修工程</w:t>
      </w:r>
      <w:r>
        <w:rPr>
          <w:rFonts w:hint="eastAsia" w:ascii="仿宋" w:hAnsi="仿宋" w:eastAsia="仿宋"/>
          <w:color w:val="auto"/>
          <w:sz w:val="28"/>
          <w:szCs w:val="28"/>
          <w:lang w:val="en-US" w:eastAsia="zh-CN"/>
        </w:rPr>
        <w:t>的总</w:t>
      </w:r>
      <w:r>
        <w:rPr>
          <w:rFonts w:hint="eastAsia" w:ascii="仿宋" w:hAnsi="仿宋" w:eastAsia="仿宋"/>
          <w:color w:val="auto"/>
          <w:sz w:val="28"/>
          <w:szCs w:val="28"/>
        </w:rPr>
        <w:t>金额达合同暂定价（</w:t>
      </w:r>
      <w:r>
        <w:rPr>
          <w:rFonts w:hint="eastAsia" w:ascii="仿宋" w:hAnsi="仿宋" w:eastAsia="仿宋"/>
          <w:color w:val="auto"/>
          <w:sz w:val="28"/>
          <w:szCs w:val="28"/>
          <w:lang w:val="en-US" w:eastAsia="zh-CN"/>
        </w:rPr>
        <w:t>48.2</w:t>
      </w:r>
      <w:r>
        <w:rPr>
          <w:rFonts w:hint="eastAsia" w:ascii="仿宋" w:hAnsi="仿宋" w:eastAsia="仿宋"/>
          <w:color w:val="auto"/>
          <w:sz w:val="28"/>
          <w:szCs w:val="28"/>
        </w:rPr>
        <w:t>万</w:t>
      </w:r>
      <w:r>
        <w:rPr>
          <w:rFonts w:hint="eastAsia" w:ascii="仿宋" w:hAnsi="仿宋" w:eastAsia="仿宋"/>
          <w:color w:val="auto"/>
          <w:sz w:val="28"/>
          <w:szCs w:val="28"/>
          <w:lang w:val="en-US" w:eastAsia="zh-CN"/>
        </w:rPr>
        <w:t>元</w:t>
      </w:r>
      <w:r>
        <w:rPr>
          <w:rFonts w:hint="eastAsia" w:ascii="仿宋" w:hAnsi="仿宋" w:eastAsia="仿宋"/>
          <w:color w:val="auto"/>
          <w:sz w:val="28"/>
          <w:szCs w:val="28"/>
        </w:rPr>
        <w:t>）</w:t>
      </w:r>
      <w:r>
        <w:rPr>
          <w:rFonts w:hint="eastAsia" w:ascii="仿宋" w:hAnsi="仿宋" w:eastAsia="仿宋"/>
          <w:color w:val="auto"/>
          <w:sz w:val="28"/>
          <w:szCs w:val="28"/>
          <w:lang w:val="en-US" w:eastAsia="zh-CN"/>
        </w:rPr>
        <w:t>或者接近48.2万元时</w:t>
      </w:r>
      <w:r>
        <w:rPr>
          <w:rFonts w:hint="eastAsia" w:ascii="仿宋" w:hAnsi="仿宋" w:eastAsia="仿宋"/>
          <w:color w:val="auto"/>
          <w:sz w:val="28"/>
          <w:szCs w:val="28"/>
        </w:rPr>
        <w:t>，则</w:t>
      </w:r>
      <w:r>
        <w:rPr>
          <w:rFonts w:hint="eastAsia" w:ascii="仿宋" w:hAnsi="仿宋" w:eastAsia="仿宋"/>
          <w:color w:val="auto"/>
          <w:sz w:val="28"/>
          <w:szCs w:val="28"/>
          <w:lang w:val="en-US" w:eastAsia="zh-CN"/>
        </w:rPr>
        <w:t>招标人以书面形式通知投标人</w:t>
      </w:r>
      <w:r>
        <w:rPr>
          <w:rFonts w:hint="eastAsia" w:ascii="仿宋" w:hAnsi="仿宋" w:eastAsia="仿宋"/>
          <w:color w:val="auto"/>
          <w:sz w:val="28"/>
          <w:szCs w:val="28"/>
        </w:rPr>
        <w:t>合同提前结束</w:t>
      </w:r>
      <w:r>
        <w:rPr>
          <w:rFonts w:ascii="仿宋" w:hAnsi="仿宋" w:eastAsia="仿宋"/>
          <w:b/>
          <w:bCs/>
          <w:color w:val="auto"/>
          <w:sz w:val="28"/>
          <w:szCs w:val="28"/>
        </w:rPr>
        <w:t>。</w:t>
      </w:r>
      <w:r>
        <w:rPr>
          <w:rFonts w:hint="eastAsia" w:ascii="仿宋" w:hAnsi="仿宋" w:eastAsia="仿宋"/>
          <w:b/>
          <w:bCs/>
          <w:color w:val="auto"/>
          <w:sz w:val="28"/>
          <w:szCs w:val="28"/>
        </w:rPr>
        <w:t xml:space="preserve"> </w:t>
      </w:r>
    </w:p>
    <w:p w14:paraId="62E4E2E6">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报价要求：</w:t>
      </w:r>
    </w:p>
    <w:p w14:paraId="6613826E">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本项目为固定下浮率合同，</w:t>
      </w:r>
      <w:r>
        <w:rPr>
          <w:rFonts w:hint="eastAsia" w:ascii="仿宋" w:hAnsi="仿宋" w:eastAsia="仿宋"/>
          <w:color w:val="000000"/>
          <w:sz w:val="28"/>
          <w:szCs w:val="28"/>
          <w:highlight w:val="none"/>
          <w:lang w:val="en-US" w:eastAsia="zh-CN"/>
        </w:rPr>
        <w:t>对已查明需维修事项</w:t>
      </w:r>
      <w:r>
        <w:rPr>
          <w:rFonts w:hint="eastAsia" w:ascii="仿宋" w:hAnsi="仿宋" w:eastAsia="仿宋"/>
          <w:color w:val="000000"/>
          <w:sz w:val="28"/>
          <w:szCs w:val="28"/>
          <w:highlight w:val="none"/>
        </w:rPr>
        <w:t>按清单项</w:t>
      </w:r>
      <w:r>
        <w:rPr>
          <w:rFonts w:hint="eastAsia" w:ascii="仿宋" w:hAnsi="仿宋" w:eastAsia="仿宋"/>
          <w:color w:val="000000"/>
          <w:sz w:val="28"/>
          <w:szCs w:val="28"/>
          <w:highlight w:val="none"/>
          <w:lang w:val="en-US" w:eastAsia="zh-CN"/>
        </w:rPr>
        <w:t>下浮后</w:t>
      </w:r>
      <w:r>
        <w:rPr>
          <w:rFonts w:hint="eastAsia" w:ascii="仿宋" w:hAnsi="仿宋" w:eastAsia="仿宋"/>
          <w:color w:val="000000"/>
          <w:sz w:val="28"/>
          <w:szCs w:val="28"/>
          <w:highlight w:val="none"/>
        </w:rPr>
        <w:t>进行包干，包括但不限于人工费、材料费、机械费、管理费、保险费、措施费、风险费、损耗费、利润、材料送检、规费、税金等全部费用，后期不得调整。</w:t>
      </w:r>
    </w:p>
    <w:p w14:paraId="7D5E2981">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维修工程预算单价＝综合单价×（1-下浮率）（市场询价的材料不参与下浮）。</w:t>
      </w:r>
    </w:p>
    <w:p w14:paraId="150649FE">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投标人自行现场踏勘。</w:t>
      </w:r>
    </w:p>
    <w:p w14:paraId="3F5A8D5C">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本项目为框架合同工程，除已查明需维修事项清单外，单项维修（改造）工程由施工单位踏勘现场，出具维修（改造）方案及造价预算，经监理单位确认工程量，报造价咨询单位审核，单项维修（改造）工程最终造价以造价咨询单位审核为准。</w:t>
      </w:r>
    </w:p>
    <w:p w14:paraId="43CEDA10">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投标上限价</w:t>
      </w:r>
    </w:p>
    <w:p w14:paraId="71E7FCD5">
      <w:pPr>
        <w:numPr>
          <w:ilvl w:val="0"/>
          <w:numId w:val="4"/>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本项目投标下浮率不小于</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%，即：投标下浮率≥</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w:t>
      </w:r>
    </w:p>
    <w:p w14:paraId="197D5047">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资质要求</w:t>
      </w:r>
    </w:p>
    <w:p w14:paraId="154B20E3">
      <w:pPr>
        <w:numPr>
          <w:ilvl w:val="0"/>
          <w:numId w:val="5"/>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本项目</w:t>
      </w:r>
      <w:r>
        <w:rPr>
          <w:rFonts w:hint="eastAsia" w:ascii="仿宋" w:hAnsi="仿宋" w:eastAsia="仿宋"/>
          <w:color w:val="000000"/>
          <w:sz w:val="28"/>
          <w:szCs w:val="28"/>
          <w:highlight w:val="none"/>
        </w:rPr>
        <w:t>不</w:t>
      </w:r>
      <w:r>
        <w:rPr>
          <w:rFonts w:ascii="仿宋" w:hAnsi="仿宋" w:eastAsia="仿宋"/>
          <w:color w:val="000000"/>
          <w:sz w:val="28"/>
          <w:szCs w:val="28"/>
          <w:highlight w:val="none"/>
        </w:rPr>
        <w:t>接受联合体投标</w:t>
      </w:r>
      <w:r>
        <w:rPr>
          <w:rFonts w:hint="eastAsia" w:ascii="仿宋" w:hAnsi="仿宋" w:eastAsia="仿宋"/>
          <w:color w:val="000000"/>
          <w:sz w:val="28"/>
          <w:szCs w:val="28"/>
          <w:highlight w:val="none"/>
        </w:rPr>
        <w:t>；</w:t>
      </w:r>
    </w:p>
    <w:p w14:paraId="5FADDF7B">
      <w:pPr>
        <w:numPr>
          <w:ilvl w:val="0"/>
          <w:numId w:val="5"/>
        </w:numPr>
        <w:snapToGrid w:val="0"/>
        <w:spacing w:line="560" w:lineRule="exact"/>
        <w:ind w:left="425" w:firstLine="142"/>
        <w:rPr>
          <w:rFonts w:ascii="仿宋" w:hAnsi="仿宋" w:eastAsia="仿宋"/>
          <w:color w:val="000000"/>
          <w:sz w:val="28"/>
          <w:szCs w:val="28"/>
          <w:highlight w:val="none"/>
        </w:rPr>
      </w:pPr>
      <w:r>
        <w:rPr>
          <w:rFonts w:ascii="仿宋" w:hAnsi="仿宋" w:eastAsia="仿宋"/>
          <w:color w:val="000000"/>
          <w:sz w:val="28"/>
          <w:szCs w:val="28"/>
          <w:highlight w:val="none"/>
        </w:rPr>
        <w:t>投标人须具备以下资格条件：</w:t>
      </w:r>
      <w:r>
        <w:rPr>
          <w:rFonts w:hint="eastAsia" w:ascii="仿宋" w:hAnsi="仿宋" w:eastAsia="仿宋"/>
          <w:color w:val="000000"/>
          <w:sz w:val="28"/>
          <w:szCs w:val="28"/>
          <w:highlight w:val="none"/>
        </w:rPr>
        <w:t>建筑装修装饰工程专业承包二级和建筑幕墙工程专业承包二级或以上资质，同时应具备安全生产许可证。</w:t>
      </w:r>
      <w:r>
        <w:rPr>
          <w:rFonts w:ascii="仿宋" w:hAnsi="仿宋" w:eastAsia="仿宋"/>
          <w:color w:val="000000"/>
          <w:sz w:val="28"/>
          <w:szCs w:val="28"/>
          <w:highlight w:val="none"/>
        </w:rPr>
        <w:t xml:space="preserve">； </w:t>
      </w:r>
    </w:p>
    <w:p w14:paraId="0D57F246">
      <w:pPr>
        <w:numPr>
          <w:ilvl w:val="0"/>
          <w:numId w:val="5"/>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投标人项目经理（建造师）要求：二级及以上注册建造师（</w:t>
      </w:r>
      <w:r>
        <w:rPr>
          <w:rFonts w:hint="eastAsia" w:ascii="仿宋" w:hAnsi="仿宋" w:eastAsia="仿宋"/>
          <w:color w:val="000000"/>
          <w:sz w:val="28"/>
          <w:szCs w:val="28"/>
          <w:highlight w:val="none"/>
        </w:rPr>
        <w:t>建筑工程专业</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和安全生产考核合格证</w:t>
      </w:r>
      <w:r>
        <w:rPr>
          <w:rFonts w:ascii="仿宋" w:hAnsi="仿宋" w:eastAsia="仿宋"/>
          <w:color w:val="000000"/>
          <w:sz w:val="28"/>
          <w:szCs w:val="28"/>
          <w:highlight w:val="none"/>
        </w:rPr>
        <w:t>。</w:t>
      </w:r>
    </w:p>
    <w:p w14:paraId="5DCAEB0F">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评标、定标办法</w:t>
      </w:r>
    </w:p>
    <w:p w14:paraId="560AF370">
      <w:pPr>
        <w:snapToGrid w:val="0"/>
        <w:spacing w:line="560" w:lineRule="exact"/>
        <w:ind w:firstLine="560" w:firstLineChars="200"/>
        <w:rPr>
          <w:rFonts w:ascii="仿宋" w:hAnsi="仿宋" w:eastAsia="仿宋"/>
          <w:color w:val="000000"/>
          <w:sz w:val="28"/>
          <w:szCs w:val="28"/>
          <w:highlight w:val="none"/>
        </w:rPr>
      </w:pPr>
      <w:r>
        <w:rPr>
          <w:rFonts w:ascii="仿宋" w:hAnsi="仿宋" w:eastAsia="仿宋"/>
          <w:color w:val="000000"/>
          <w:sz w:val="28"/>
          <w:szCs w:val="28"/>
          <w:highlight w:val="none"/>
        </w:rPr>
        <w:t>采用定性评审法评标、直接票决定标。</w:t>
      </w:r>
    </w:p>
    <w:p w14:paraId="47607F5C">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截标、开标时间和地点</w:t>
      </w:r>
    </w:p>
    <w:p w14:paraId="3BF5ABEE">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领取招标文件时间：202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7</w:t>
      </w:r>
      <w:r>
        <w:rPr>
          <w:rFonts w:ascii="仿宋" w:hAnsi="仿宋" w:eastAsia="仿宋"/>
          <w:color w:val="000000"/>
          <w:sz w:val="28"/>
          <w:szCs w:val="28"/>
          <w:highlight w:val="none"/>
        </w:rPr>
        <w:t>日至202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14</w:t>
      </w:r>
      <w:r>
        <w:rPr>
          <w:rFonts w:ascii="仿宋" w:hAnsi="仿宋" w:eastAsia="仿宋"/>
          <w:color w:val="000000"/>
          <w:sz w:val="28"/>
          <w:szCs w:val="28"/>
          <w:highlight w:val="none"/>
        </w:rPr>
        <w:t>日</w:t>
      </w:r>
    </w:p>
    <w:p w14:paraId="2C130802">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领取招标文件地点：深圳市罗湖区特力大厦3层</w:t>
      </w:r>
      <w:r>
        <w:rPr>
          <w:rFonts w:hint="eastAsia" w:ascii="仿宋" w:hAnsi="仿宋" w:eastAsia="仿宋"/>
          <w:color w:val="000000"/>
          <w:sz w:val="28"/>
          <w:szCs w:val="28"/>
          <w:highlight w:val="none"/>
        </w:rPr>
        <w:t>建设管理事业部</w:t>
      </w:r>
    </w:p>
    <w:p w14:paraId="381FF358">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截标时间：202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14</w:t>
      </w:r>
      <w:r>
        <w:rPr>
          <w:rFonts w:ascii="仿宋" w:hAnsi="仿宋" w:eastAsia="仿宋"/>
          <w:color w:val="000000"/>
          <w:sz w:val="28"/>
          <w:szCs w:val="28"/>
          <w:highlight w:val="none"/>
        </w:rPr>
        <w:t>日</w:t>
      </w:r>
      <w:r>
        <w:rPr>
          <w:rFonts w:hint="eastAsia" w:ascii="仿宋" w:hAnsi="仿宋" w:eastAsia="仿宋"/>
          <w:color w:val="000000"/>
          <w:sz w:val="28"/>
          <w:szCs w:val="28"/>
          <w:highlight w:val="none"/>
          <w:lang w:val="en-US" w:eastAsia="zh-CN"/>
        </w:rPr>
        <w:t>12</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00</w:t>
      </w:r>
      <w:r>
        <w:rPr>
          <w:rFonts w:ascii="仿宋" w:hAnsi="仿宋" w:eastAsia="仿宋"/>
          <w:color w:val="000000"/>
          <w:sz w:val="28"/>
          <w:szCs w:val="28"/>
          <w:highlight w:val="none"/>
        </w:rPr>
        <w:t xml:space="preserve"> </w:t>
      </w:r>
    </w:p>
    <w:p w14:paraId="006A72C8">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标书送达地点：深圳市罗湖区特力大厦3层</w:t>
      </w:r>
      <w:r>
        <w:rPr>
          <w:rFonts w:hint="eastAsia" w:ascii="仿宋" w:hAnsi="仿宋" w:eastAsia="仿宋"/>
          <w:color w:val="000000"/>
          <w:sz w:val="28"/>
          <w:szCs w:val="28"/>
          <w:highlight w:val="none"/>
        </w:rPr>
        <w:t>建设管理事业部</w:t>
      </w:r>
    </w:p>
    <w:p w14:paraId="4F0FC592">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开标时间：招标人自行安排，无需投标人参与。</w:t>
      </w:r>
    </w:p>
    <w:p w14:paraId="36B182FD">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开标地点：招标人自行安排，无需投标人参与。</w:t>
      </w:r>
    </w:p>
    <w:p w14:paraId="3E75720B">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投标人需递交的材料</w:t>
      </w:r>
    </w:p>
    <w:p w14:paraId="077E8912">
      <w:pPr>
        <w:numPr>
          <w:ilvl w:val="0"/>
          <w:numId w:val="7"/>
        </w:numPr>
        <w:snapToGrid w:val="0"/>
        <w:spacing w:line="560" w:lineRule="exact"/>
        <w:ind w:left="0" w:firstLine="420"/>
        <w:rPr>
          <w:rFonts w:ascii="仿宋" w:hAnsi="仿宋" w:eastAsia="仿宋"/>
          <w:strike/>
          <w:color w:val="000000"/>
          <w:sz w:val="28"/>
          <w:szCs w:val="28"/>
          <w:highlight w:val="none"/>
        </w:rPr>
      </w:pPr>
      <w:r>
        <w:rPr>
          <w:rFonts w:hint="eastAsia" w:ascii="仿宋" w:hAnsi="仿宋" w:eastAsia="仿宋"/>
          <w:color w:val="000000"/>
          <w:sz w:val="28"/>
          <w:szCs w:val="28"/>
          <w:highlight w:val="none"/>
        </w:rPr>
        <w:t>投标</w:t>
      </w:r>
      <w:r>
        <w:rPr>
          <w:rFonts w:ascii="仿宋" w:hAnsi="仿宋" w:eastAsia="仿宋"/>
          <w:color w:val="000000"/>
          <w:sz w:val="28"/>
          <w:szCs w:val="28"/>
          <w:highlight w:val="none"/>
        </w:rPr>
        <w:t>承诺书，详</w:t>
      </w:r>
      <w:r>
        <w:rPr>
          <w:rFonts w:hint="eastAsia" w:ascii="仿宋" w:hAnsi="仿宋" w:eastAsia="仿宋"/>
          <w:color w:val="000000"/>
          <w:sz w:val="28"/>
          <w:szCs w:val="28"/>
          <w:highlight w:val="none"/>
          <w:lang w:val="en-US" w:eastAsia="zh-CN"/>
        </w:rPr>
        <w:t>见</w:t>
      </w:r>
      <w:r>
        <w:rPr>
          <w:rFonts w:ascii="仿宋" w:hAnsi="仿宋" w:eastAsia="仿宋"/>
          <w:color w:val="000000"/>
          <w:sz w:val="28"/>
          <w:szCs w:val="28"/>
          <w:highlight w:val="none"/>
        </w:rPr>
        <w:t>附件</w:t>
      </w:r>
      <w:r>
        <w:rPr>
          <w:rFonts w:hint="eastAsia" w:ascii="仿宋" w:hAnsi="仿宋" w:eastAsia="仿宋"/>
          <w:color w:val="000000"/>
          <w:sz w:val="28"/>
          <w:szCs w:val="28"/>
          <w:highlight w:val="none"/>
          <w:lang w:val="en-US" w:eastAsia="zh-CN"/>
        </w:rPr>
        <w:t>1</w:t>
      </w:r>
    </w:p>
    <w:p w14:paraId="7FF9E44C">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单位营业执照复印件</w:t>
      </w:r>
    </w:p>
    <w:p w14:paraId="6DF837E1">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单位法人证明书正本</w:t>
      </w:r>
    </w:p>
    <w:p w14:paraId="30798141">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资质证书复印件</w:t>
      </w:r>
      <w:r>
        <w:rPr>
          <w:rFonts w:hint="eastAsia" w:ascii="仿宋" w:hAnsi="仿宋" w:eastAsia="仿宋"/>
          <w:color w:val="000000"/>
          <w:sz w:val="28"/>
          <w:szCs w:val="28"/>
          <w:highlight w:val="none"/>
        </w:rPr>
        <w:t>（投标人资质证书和拟派项目经理的资质证书）</w:t>
      </w:r>
    </w:p>
    <w:p w14:paraId="36E6F5E1">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委托代理人证明书正本</w:t>
      </w:r>
    </w:p>
    <w:p w14:paraId="6AA93D31">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代理人身份证复印件</w:t>
      </w:r>
    </w:p>
    <w:p w14:paraId="44F3F46B">
      <w:pPr>
        <w:numPr>
          <w:ilvl w:val="0"/>
          <w:numId w:val="7"/>
        </w:numPr>
        <w:snapToGrid w:val="0"/>
        <w:spacing w:line="560" w:lineRule="exact"/>
        <w:ind w:firstLine="420"/>
        <w:rPr>
          <w:rFonts w:ascii="仿宋" w:hAnsi="仿宋" w:eastAsia="仿宋"/>
          <w:color w:val="000000"/>
          <w:sz w:val="28"/>
          <w:szCs w:val="28"/>
          <w:highlight w:val="none"/>
        </w:rPr>
      </w:pPr>
      <w:r>
        <w:rPr>
          <w:rFonts w:hint="eastAsia" w:ascii="仿宋" w:hAnsi="仿宋" w:eastAsia="仿宋"/>
          <w:color w:val="000000"/>
          <w:sz w:val="28"/>
          <w:szCs w:val="28"/>
          <w:highlight w:val="none"/>
        </w:rPr>
        <w:t>投标人及拟派项目经理</w:t>
      </w:r>
      <w:r>
        <w:rPr>
          <w:rFonts w:ascii="仿宋" w:hAnsi="仿宋" w:eastAsia="仿宋"/>
          <w:color w:val="000000"/>
          <w:sz w:val="28"/>
          <w:szCs w:val="28"/>
          <w:highlight w:val="none"/>
        </w:rPr>
        <w:t>业绩证明材料</w:t>
      </w:r>
      <w:r>
        <w:rPr>
          <w:rFonts w:hint="eastAsia" w:ascii="仿宋" w:hAnsi="仿宋" w:eastAsia="仿宋"/>
          <w:color w:val="000000"/>
          <w:sz w:val="28"/>
          <w:szCs w:val="28"/>
          <w:highlight w:val="none"/>
        </w:rPr>
        <w:t>（合同关键页、竣工验收报告）</w:t>
      </w:r>
    </w:p>
    <w:p w14:paraId="3EE24C90">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投标人认为需要提供的其他资料</w:t>
      </w:r>
    </w:p>
    <w:p w14:paraId="5E18EFC8">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以上投标材料纸质版文件一式两份</w:t>
      </w:r>
      <w:r>
        <w:rPr>
          <w:rFonts w:hint="eastAsia" w:ascii="仿宋" w:hAnsi="仿宋" w:eastAsia="仿宋"/>
          <w:color w:val="000000"/>
          <w:sz w:val="28"/>
          <w:szCs w:val="28"/>
          <w:highlight w:val="none"/>
        </w:rPr>
        <w:t>，</w:t>
      </w:r>
      <w:r>
        <w:rPr>
          <w:rFonts w:hint="eastAsia" w:ascii="仿宋" w:hAnsi="仿宋" w:eastAsia="仿宋"/>
          <w:b w:val="0"/>
          <w:bCs w:val="0"/>
          <w:color w:val="000000"/>
          <w:sz w:val="28"/>
          <w:szCs w:val="28"/>
          <w:highlight w:val="none"/>
        </w:rPr>
        <w:t>需编写目录和页码</w:t>
      </w:r>
      <w:r>
        <w:rPr>
          <w:rFonts w:hint="eastAsia" w:ascii="仿宋" w:hAnsi="仿宋" w:eastAsia="仿宋"/>
          <w:color w:val="000000"/>
          <w:sz w:val="28"/>
          <w:szCs w:val="28"/>
          <w:highlight w:val="none"/>
        </w:rPr>
        <w:t>，</w:t>
      </w:r>
      <w:r>
        <w:rPr>
          <w:rFonts w:ascii="仿宋" w:hAnsi="仿宋" w:eastAsia="仿宋"/>
          <w:color w:val="000000"/>
          <w:sz w:val="28"/>
          <w:szCs w:val="28"/>
          <w:highlight w:val="none"/>
        </w:rPr>
        <w:t>并提供对应电子版文档</w:t>
      </w:r>
      <w:r>
        <w:rPr>
          <w:rFonts w:hint="eastAsia" w:ascii="仿宋" w:hAnsi="仿宋" w:eastAsia="仿宋"/>
          <w:color w:val="000000"/>
          <w:sz w:val="28"/>
          <w:szCs w:val="28"/>
          <w:highlight w:val="none"/>
          <w:lang w:val="en-US" w:eastAsia="zh-CN"/>
        </w:rPr>
        <w:t>及投标文件盖章扫描件</w:t>
      </w:r>
      <w:r>
        <w:rPr>
          <w:rFonts w:ascii="仿宋" w:hAnsi="仿宋" w:eastAsia="仿宋"/>
          <w:color w:val="000000"/>
          <w:sz w:val="28"/>
          <w:szCs w:val="28"/>
          <w:highlight w:val="none"/>
        </w:rPr>
        <w:t>（U盘），所有复印件均需加盖公章，装入密封袋中。</w:t>
      </w:r>
    </w:p>
    <w:p w14:paraId="34E78BE6">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废标</w:t>
      </w:r>
    </w:p>
    <w:p w14:paraId="6C3BB4E9">
      <w:pPr>
        <w:numPr>
          <w:ilvl w:val="0"/>
          <w:numId w:val="8"/>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投标人未按投标邀请函第十</w:t>
      </w:r>
      <w:r>
        <w:rPr>
          <w:rFonts w:hint="eastAsia" w:ascii="仿宋" w:hAnsi="仿宋" w:eastAsia="仿宋"/>
          <w:color w:val="000000"/>
          <w:sz w:val="28"/>
          <w:szCs w:val="28"/>
          <w:highlight w:val="none"/>
          <w:lang w:val="en-US" w:eastAsia="zh-CN"/>
        </w:rPr>
        <w:t>一</w:t>
      </w:r>
      <w:r>
        <w:rPr>
          <w:rFonts w:hint="eastAsia" w:ascii="仿宋" w:hAnsi="仿宋" w:eastAsia="仿宋"/>
          <w:color w:val="000000"/>
          <w:sz w:val="28"/>
          <w:szCs w:val="28"/>
          <w:highlight w:val="none"/>
        </w:rPr>
        <w:t>条中的（一）至（五）提供相应文件视为废标。</w:t>
      </w:r>
    </w:p>
    <w:p w14:paraId="0448A180">
      <w:pPr>
        <w:numPr>
          <w:ilvl w:val="0"/>
          <w:numId w:val="8"/>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商务标存在无效报价情况，作废标处理。</w:t>
      </w:r>
    </w:p>
    <w:p w14:paraId="62FF9988">
      <w:pPr>
        <w:numPr>
          <w:ilvl w:val="0"/>
          <w:numId w:val="8"/>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投标人存在下列情形之一的，作废标处理：</w:t>
      </w:r>
    </w:p>
    <w:p w14:paraId="2D97C88D">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被列入被执行人黑名单；</w:t>
      </w:r>
    </w:p>
    <w:p w14:paraId="65C77449">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被列入</w:t>
      </w:r>
      <w:r>
        <w:rPr>
          <w:rFonts w:hint="eastAsia" w:ascii="仿宋" w:hAnsi="仿宋" w:eastAsia="仿宋"/>
          <w:color w:val="000000"/>
          <w:sz w:val="28"/>
          <w:szCs w:val="28"/>
          <w:highlight w:val="none"/>
        </w:rPr>
        <w:t>重大税收违法案件</w:t>
      </w:r>
      <w:r>
        <w:rPr>
          <w:rFonts w:hint="eastAsia" w:ascii="仿宋" w:hAnsi="仿宋" w:eastAsia="仿宋"/>
          <w:color w:val="000000"/>
          <w:sz w:val="28"/>
          <w:szCs w:val="28"/>
          <w:highlight w:val="none"/>
          <w:lang w:val="en-US" w:eastAsia="zh-CN"/>
        </w:rPr>
        <w:t>当事人名单</w:t>
      </w:r>
      <w:r>
        <w:rPr>
          <w:rFonts w:hint="eastAsia" w:ascii="仿宋" w:hAnsi="仿宋" w:eastAsia="仿宋"/>
          <w:color w:val="000000"/>
          <w:sz w:val="28"/>
          <w:szCs w:val="28"/>
          <w:highlight w:val="none"/>
          <w:lang w:eastAsia="zh-CN"/>
        </w:rPr>
        <w:t>；</w:t>
      </w:r>
    </w:p>
    <w:p w14:paraId="4A63C1D5">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被列入</w:t>
      </w:r>
      <w:r>
        <w:rPr>
          <w:rFonts w:hint="eastAsia" w:ascii="仿宋" w:hAnsi="仿宋" w:eastAsia="仿宋"/>
          <w:color w:val="000000"/>
          <w:sz w:val="28"/>
          <w:szCs w:val="28"/>
          <w:highlight w:val="none"/>
        </w:rPr>
        <w:t>政府采购严重违法失信行为记录名单</w:t>
      </w:r>
      <w:r>
        <w:rPr>
          <w:rFonts w:hint="eastAsia" w:ascii="仿宋" w:hAnsi="仿宋" w:eastAsia="仿宋"/>
          <w:color w:val="000000"/>
          <w:sz w:val="28"/>
          <w:szCs w:val="28"/>
          <w:highlight w:val="none"/>
          <w:lang w:eastAsia="zh-CN"/>
        </w:rPr>
        <w:t>；</w:t>
      </w:r>
    </w:p>
    <w:p w14:paraId="30475875">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存在其他不符合《中华人民共和国政府采购法》第二十二条规定条件的情形</w:t>
      </w:r>
      <w:r>
        <w:rPr>
          <w:rFonts w:hint="eastAsia" w:ascii="仿宋" w:hAnsi="仿宋" w:eastAsia="仿宋"/>
          <w:color w:val="000000"/>
          <w:sz w:val="28"/>
          <w:szCs w:val="28"/>
          <w:highlight w:val="none"/>
          <w:lang w:eastAsia="zh-CN"/>
        </w:rPr>
        <w:t>。</w:t>
      </w:r>
    </w:p>
    <w:p w14:paraId="273C9084">
      <w:pPr>
        <w:numPr>
          <w:ilvl w:val="-1"/>
          <w:numId w:val="0"/>
        </w:numPr>
        <w:snapToGrid w:val="0"/>
        <w:spacing w:line="560" w:lineRule="exact"/>
        <w:ind w:left="630" w:leftChars="300" w:firstLine="0" w:firstLineChars="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 xml:space="preserve"> （四）</w:t>
      </w:r>
      <w:r>
        <w:rPr>
          <w:rFonts w:hint="eastAsia" w:ascii="仿宋" w:hAnsi="仿宋" w:eastAsia="仿宋"/>
          <w:color w:val="000000"/>
          <w:sz w:val="28"/>
          <w:szCs w:val="28"/>
          <w:highlight w:val="none"/>
        </w:rPr>
        <w:t>相互间有直接控股关系或法定代表人为同一人的两个或两个以上的法人提交投标文件的，</w:t>
      </w:r>
      <w:r>
        <w:rPr>
          <w:rFonts w:hint="eastAsia" w:ascii="仿宋" w:hAnsi="仿宋" w:eastAsia="仿宋"/>
          <w:color w:val="000000"/>
          <w:sz w:val="28"/>
          <w:szCs w:val="28"/>
          <w:highlight w:val="none"/>
          <w:lang w:val="en-US" w:eastAsia="zh-CN"/>
        </w:rPr>
        <w:t>均作废标处理。</w:t>
      </w:r>
    </w:p>
    <w:p w14:paraId="7D0D993C">
      <w:pPr>
        <w:numPr>
          <w:ilvl w:val="0"/>
          <w:numId w:val="1"/>
        </w:numPr>
        <w:snapToGrid w:val="0"/>
        <w:spacing w:line="560" w:lineRule="exact"/>
        <w:outlineLvl w:val="1"/>
        <w:rPr>
          <w:rFonts w:hint="default" w:ascii="仿宋" w:hAnsi="仿宋" w:eastAsia="仿宋"/>
          <w:b/>
          <w:bCs/>
          <w:color w:val="000000"/>
          <w:sz w:val="30"/>
          <w:szCs w:val="30"/>
          <w:highlight w:val="none"/>
        </w:rPr>
      </w:pPr>
      <w:r>
        <w:rPr>
          <w:rFonts w:hint="eastAsia" w:ascii="仿宋" w:hAnsi="仿宋" w:eastAsia="仿宋"/>
          <w:b/>
          <w:bCs/>
          <w:color w:val="000000"/>
          <w:sz w:val="30"/>
          <w:szCs w:val="30"/>
          <w:highlight w:val="none"/>
          <w:lang w:val="en-US" w:eastAsia="zh-CN"/>
        </w:rPr>
        <w:t>投标人</w:t>
      </w:r>
      <w:r>
        <w:rPr>
          <w:rFonts w:hint="default" w:ascii="仿宋" w:hAnsi="仿宋" w:eastAsia="仿宋"/>
          <w:b/>
          <w:bCs/>
          <w:color w:val="000000"/>
          <w:sz w:val="30"/>
          <w:szCs w:val="30"/>
          <w:highlight w:val="none"/>
        </w:rPr>
        <w:t>信用审查条款</w:t>
      </w:r>
    </w:p>
    <w:p w14:paraId="6C533477">
      <w:pPr>
        <w:numPr>
          <w:ilvl w:val="-1"/>
          <w:numId w:val="0"/>
        </w:numPr>
        <w:snapToGrid w:val="0"/>
        <w:spacing w:line="560" w:lineRule="exact"/>
        <w:ind w:left="420" w:firstLine="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一</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信用信息查询要求</w:t>
      </w:r>
    </w:p>
    <w:p w14:paraId="694ECF15">
      <w:pPr>
        <w:numPr>
          <w:ilvl w:val="-1"/>
          <w:numId w:val="0"/>
        </w:numPr>
        <w:snapToGrid w:val="0"/>
        <w:spacing w:line="560" w:lineRule="exact"/>
        <w:ind w:firstLineChars="15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查询渠道：</w:t>
      </w:r>
      <w:r>
        <w:rPr>
          <w:rFonts w:hint="eastAsia" w:ascii="仿宋" w:hAnsi="仿宋" w:eastAsia="仿宋"/>
          <w:color w:val="000000"/>
          <w:sz w:val="28"/>
          <w:szCs w:val="28"/>
          <w:highlight w:val="none"/>
          <w:lang w:val="en-US" w:eastAsia="zh-CN"/>
        </w:rPr>
        <w:t>招标人</w:t>
      </w:r>
      <w:r>
        <w:rPr>
          <w:rFonts w:hint="eastAsia" w:ascii="仿宋" w:hAnsi="仿宋" w:eastAsia="仿宋"/>
          <w:color w:val="000000"/>
          <w:sz w:val="28"/>
          <w:szCs w:val="28"/>
          <w:highlight w:val="none"/>
        </w:rPr>
        <w:t>将通过 “信用中国” 网站（www.creditchina.gov.cn）、中国政府采购网（www.ccgp.gov.cn）等官方权威渠道对供应商信用信息进行查询。</w:t>
      </w:r>
    </w:p>
    <w:p w14:paraId="38709436">
      <w:pPr>
        <w:numPr>
          <w:ilvl w:val="-1"/>
          <w:numId w:val="0"/>
        </w:numPr>
        <w:snapToGrid w:val="0"/>
        <w:spacing w:line="560" w:lineRule="exact"/>
        <w:ind w:firstLineChars="15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截止时点：以</w:t>
      </w:r>
      <w:r>
        <w:rPr>
          <w:rFonts w:hint="eastAsia" w:ascii="仿宋" w:hAnsi="仿宋" w:eastAsia="仿宋"/>
          <w:color w:val="000000"/>
          <w:sz w:val="28"/>
          <w:szCs w:val="28"/>
          <w:highlight w:val="none"/>
          <w:lang w:val="en-US" w:eastAsia="zh-CN"/>
        </w:rPr>
        <w:t>招标人</w:t>
      </w:r>
      <w:r>
        <w:rPr>
          <w:rFonts w:hint="eastAsia" w:ascii="仿宋" w:hAnsi="仿宋" w:eastAsia="仿宋"/>
          <w:color w:val="000000"/>
          <w:sz w:val="28"/>
          <w:szCs w:val="28"/>
          <w:highlight w:val="none"/>
        </w:rPr>
        <w:t>于投标截止时间当天在“信用中国”网站（www.creditchina.gov.cn）及中国政府采购网（http://www.ccgp.gov.cn/）查询结果为准，如相关失信记录已失效，</w:t>
      </w:r>
      <w:r>
        <w:rPr>
          <w:rFonts w:hint="eastAsia" w:ascii="仿宋" w:hAnsi="仿宋" w:eastAsia="仿宋"/>
          <w:color w:val="000000"/>
          <w:sz w:val="28"/>
          <w:szCs w:val="28"/>
          <w:highlight w:val="none"/>
          <w:lang w:val="en-US" w:eastAsia="zh-CN"/>
        </w:rPr>
        <w:t>投标人</w:t>
      </w:r>
      <w:r>
        <w:rPr>
          <w:rFonts w:hint="eastAsia" w:ascii="仿宋" w:hAnsi="仿宋" w:eastAsia="仿宋"/>
          <w:color w:val="000000"/>
          <w:sz w:val="28"/>
          <w:szCs w:val="28"/>
          <w:highlight w:val="none"/>
        </w:rPr>
        <w:t>需提供相关证明资料。</w:t>
      </w:r>
    </w:p>
    <w:p w14:paraId="76409591">
      <w:pPr>
        <w:numPr>
          <w:ilvl w:val="-1"/>
          <w:numId w:val="0"/>
        </w:numPr>
        <w:snapToGrid w:val="0"/>
        <w:spacing w:line="560" w:lineRule="exact"/>
        <w:ind w:firstLineChars="15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3、查询</w:t>
      </w:r>
      <w:r>
        <w:rPr>
          <w:rFonts w:hint="eastAsia" w:ascii="仿宋" w:hAnsi="仿宋" w:eastAsia="仿宋"/>
          <w:color w:val="000000"/>
          <w:sz w:val="28"/>
          <w:szCs w:val="28"/>
          <w:highlight w:val="none"/>
        </w:rPr>
        <w:t>记录与证据留存：查询记录和证据将以网页截图、电子文档等形式进行留存。</w:t>
      </w:r>
    </w:p>
    <w:p w14:paraId="3A94F5DE">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其他</w:t>
      </w:r>
    </w:p>
    <w:p w14:paraId="4882C0E9">
      <w:pPr>
        <w:numPr>
          <w:ilvl w:val="0"/>
          <w:numId w:val="10"/>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本次招标不组织投标人踏勘现场，请自行前往现场查看。</w:t>
      </w:r>
    </w:p>
    <w:p w14:paraId="2B0BAA87">
      <w:pPr>
        <w:numPr>
          <w:ilvl w:val="0"/>
          <w:numId w:val="10"/>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招标文件有关的质疑、答疑，统一以邮件的形式发送至招标文件领取时预留的邮箱。</w:t>
      </w:r>
    </w:p>
    <w:p w14:paraId="6C33D3FD">
      <w:pPr>
        <w:numPr>
          <w:ilvl w:val="0"/>
          <w:numId w:val="10"/>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本工程无需提供履约担保，招标人不提供支付担保</w:t>
      </w:r>
      <w:r>
        <w:rPr>
          <w:rFonts w:hint="eastAsia" w:ascii="仿宋" w:hAnsi="仿宋" w:eastAsia="仿宋"/>
          <w:color w:val="auto"/>
          <w:sz w:val="28"/>
          <w:szCs w:val="28"/>
          <w:highlight w:val="none"/>
        </w:rPr>
        <w:t>。</w:t>
      </w:r>
    </w:p>
    <w:p w14:paraId="7D7145CB">
      <w:pPr>
        <w:snapToGrid w:val="0"/>
        <w:spacing w:line="560" w:lineRule="exact"/>
        <w:ind w:firstLine="560" w:firstLineChars="200"/>
        <w:rPr>
          <w:rFonts w:ascii="微软雅黑" w:hAnsi="微软雅黑" w:eastAsia="微软雅黑"/>
          <w:color w:val="333333"/>
          <w:sz w:val="28"/>
          <w:szCs w:val="28"/>
          <w:highlight w:val="none"/>
        </w:rPr>
      </w:pPr>
      <w:r>
        <w:rPr>
          <w:rFonts w:ascii="仿宋" w:hAnsi="仿宋" w:eastAsia="仿宋"/>
          <w:color w:val="000000"/>
          <w:sz w:val="28"/>
          <w:szCs w:val="28"/>
          <w:highlight w:val="none"/>
        </w:rPr>
        <w:t>若你单位有意参加投标，请于截标时间前到达标书送达地点，并递交有关材料。</w:t>
      </w:r>
    </w:p>
    <w:p w14:paraId="22C7833E">
      <w:pPr>
        <w:snapToGrid w:val="0"/>
        <w:spacing w:line="560" w:lineRule="exact"/>
        <w:ind w:firstLine="560" w:firstLineChars="200"/>
        <w:jc w:val="righ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深圳市特力（集团）股份有限公司</w:t>
      </w:r>
    </w:p>
    <w:p w14:paraId="6F978E1E">
      <w:pPr>
        <w:snapToGrid w:val="0"/>
        <w:ind w:right="141" w:rightChars="67" w:firstLine="3780" w:firstLineChars="1350"/>
        <w:jc w:val="right"/>
        <w:rPr>
          <w:rFonts w:ascii="仿宋" w:hAnsi="仿宋" w:eastAsia="仿宋"/>
          <w:color w:val="000000"/>
          <w:sz w:val="28"/>
          <w:szCs w:val="28"/>
          <w:highlight w:val="none"/>
        </w:rPr>
      </w:pPr>
      <w:r>
        <w:rPr>
          <w:rFonts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7</w:t>
      </w:r>
      <w:r>
        <w:rPr>
          <w:rFonts w:ascii="仿宋" w:hAnsi="仿宋" w:eastAsia="仿宋"/>
          <w:color w:val="000000"/>
          <w:sz w:val="28"/>
          <w:szCs w:val="28"/>
          <w:highlight w:val="none"/>
        </w:rPr>
        <w:t>日</w:t>
      </w:r>
    </w:p>
    <w:p w14:paraId="6729C04F">
      <w:pPr>
        <w:snapToGrid w:val="0"/>
        <w:ind w:right="31" w:rightChars="15" w:firstLine="2604" w:firstLineChars="930"/>
        <w:jc w:val="right"/>
        <w:rPr>
          <w:rFonts w:hint="eastAsia" w:ascii="仿宋" w:hAnsi="仿宋" w:eastAsia="仿宋"/>
          <w:color w:val="000000"/>
          <w:sz w:val="28"/>
          <w:szCs w:val="28"/>
          <w:highlight w:val="none"/>
          <w:lang w:val="en-US" w:eastAsia="zh-CN"/>
        </w:rPr>
      </w:pPr>
      <w:r>
        <w:rPr>
          <w:rFonts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陈工</w:t>
      </w:r>
    </w:p>
    <w:p w14:paraId="5A07A21D">
      <w:pPr>
        <w:snapToGrid w:val="0"/>
        <w:ind w:right="31" w:rightChars="15" w:firstLine="2604" w:firstLineChars="930"/>
        <w:jc w:val="right"/>
        <w:rPr>
          <w:rFonts w:ascii="仿宋" w:hAnsi="仿宋" w:eastAsia="仿宋"/>
          <w:color w:val="000000"/>
          <w:sz w:val="28"/>
          <w:szCs w:val="28"/>
          <w:highlight w:val="none"/>
        </w:rPr>
      </w:pPr>
      <w:r>
        <w:rPr>
          <w:rFonts w:ascii="仿宋" w:hAnsi="仿宋" w:eastAsia="仿宋"/>
          <w:color w:val="000000"/>
          <w:sz w:val="28"/>
          <w:szCs w:val="28"/>
          <w:highlight w:val="none"/>
        </w:rPr>
        <w:t>联系电话：</w:t>
      </w:r>
      <w:r>
        <w:rPr>
          <w:rFonts w:hint="eastAsia" w:ascii="仿宋" w:hAnsi="仿宋" w:eastAsia="仿宋"/>
          <w:color w:val="000000"/>
          <w:sz w:val="28"/>
          <w:szCs w:val="28"/>
          <w:highlight w:val="none"/>
          <w:lang w:val="en-US" w:eastAsia="zh-CN"/>
        </w:rPr>
        <w:t>0755-</w:t>
      </w:r>
      <w:r>
        <w:rPr>
          <w:rFonts w:hint="eastAsia" w:ascii="仿宋" w:hAnsi="仿宋" w:eastAsia="仿宋"/>
          <w:color w:val="000000"/>
          <w:sz w:val="28"/>
          <w:szCs w:val="28"/>
          <w:highlight w:val="none"/>
        </w:rPr>
        <w:t>83989304</w:t>
      </w:r>
      <w:r>
        <w:rPr>
          <w:rFonts w:hint="eastAsia" w:ascii="仿宋" w:hAnsi="仿宋" w:eastAsia="仿宋"/>
          <w:color w:val="000000"/>
          <w:sz w:val="28"/>
          <w:szCs w:val="28"/>
          <w:highlight w:val="none"/>
          <w:lang w:val="en-US" w:eastAsia="zh-CN"/>
        </w:rPr>
        <w:t>转8882</w:t>
      </w:r>
    </w:p>
    <w:p w14:paraId="75F70C94">
      <w:pPr>
        <w:snapToGrid w:val="0"/>
        <w:ind w:right="31" w:rightChars="15" w:firstLine="2604" w:firstLineChars="930"/>
        <w:jc w:val="right"/>
        <w:rPr>
          <w:rFonts w:ascii="微软雅黑" w:hAnsi="微软雅黑" w:eastAsia="微软雅黑"/>
          <w:color w:val="333333"/>
          <w:sz w:val="28"/>
          <w:szCs w:val="28"/>
          <w:highlight w:val="none"/>
        </w:rPr>
      </w:pPr>
      <w:r>
        <w:rPr>
          <w:rFonts w:ascii="仿宋" w:hAnsi="仿宋" w:eastAsia="仿宋"/>
          <w:color w:val="000000"/>
          <w:sz w:val="28"/>
          <w:szCs w:val="28"/>
          <w:highlight w:val="none"/>
        </w:rPr>
        <w:t>邮箱：</w:t>
      </w:r>
      <w:r>
        <w:rPr>
          <w:rFonts w:hint="default" w:ascii="仿宋" w:hAnsi="仿宋" w:eastAsia="仿宋"/>
          <w:color w:val="auto"/>
          <w:sz w:val="28"/>
          <w:szCs w:val="28"/>
          <w:highlight w:val="none"/>
          <w:lang w:val="en-US" w:eastAsia="zh-CN"/>
        </w:rPr>
        <w:t xml:space="preserve">chenxg@tellus.cn </w:t>
      </w:r>
    </w:p>
    <w:p w14:paraId="7262925B">
      <w:pPr>
        <w:rPr>
          <w:b/>
          <w:sz w:val="28"/>
          <w:szCs w:val="28"/>
          <w:highlight w:val="none"/>
        </w:rPr>
      </w:pPr>
      <w:r>
        <w:rPr>
          <w:b/>
          <w:sz w:val="28"/>
          <w:szCs w:val="28"/>
          <w:highlight w:val="none"/>
        </w:rPr>
        <w:br w:type="page"/>
      </w:r>
    </w:p>
    <w:p w14:paraId="4F32EF03">
      <w:pPr>
        <w:rPr>
          <w:b/>
          <w:sz w:val="24"/>
          <w:szCs w:val="24"/>
          <w:highlight w:val="none"/>
        </w:rPr>
      </w:pPr>
      <w:r>
        <w:rPr>
          <w:rFonts w:hint="eastAsia"/>
          <w:b/>
          <w:sz w:val="24"/>
          <w:szCs w:val="24"/>
          <w:highlight w:val="none"/>
        </w:rPr>
        <w:t>附件1</w:t>
      </w:r>
    </w:p>
    <w:p w14:paraId="3F48E233">
      <w:pPr>
        <w:snapToGrid w:val="0"/>
        <w:spacing w:line="360" w:lineRule="auto"/>
        <w:jc w:val="center"/>
        <w:rPr>
          <w:rFonts w:hint="eastAsia" w:ascii="仿宋" w:hAnsi="仿宋" w:eastAsia="仿宋" w:cs="仿宋"/>
          <w:color w:val="333333"/>
          <w:sz w:val="22"/>
          <w:highlight w:val="none"/>
        </w:rPr>
      </w:pPr>
      <w:r>
        <w:rPr>
          <w:rFonts w:hint="eastAsia" w:ascii="仿宋" w:hAnsi="仿宋" w:eastAsia="仿宋" w:cs="仿宋"/>
          <w:b/>
          <w:bCs/>
          <w:color w:val="000000"/>
          <w:sz w:val="36"/>
          <w:szCs w:val="36"/>
          <w:highlight w:val="none"/>
        </w:rPr>
        <w:t>投标承诺书</w:t>
      </w:r>
    </w:p>
    <w:p w14:paraId="4EB2F60B">
      <w:pPr>
        <w:snapToGrid w:val="0"/>
        <w:rPr>
          <w:rFonts w:hint="eastAsia" w:ascii="仿宋" w:hAnsi="仿宋" w:eastAsia="仿宋" w:cs="仿宋"/>
          <w:color w:val="333333"/>
          <w:sz w:val="22"/>
          <w:highlight w:val="none"/>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lang w:eastAsia="zh-CN"/>
        </w:rPr>
        <w:t>深圳市特力（集团）股份有限公司</w:t>
      </w:r>
      <w:r>
        <w:rPr>
          <w:rFonts w:hint="eastAsia" w:ascii="仿宋" w:hAnsi="仿宋" w:eastAsia="仿宋" w:cs="仿宋"/>
          <w:color w:val="000000"/>
          <w:sz w:val="24"/>
          <w:szCs w:val="24"/>
          <w:highlight w:val="none"/>
          <w:u w:val="single"/>
        </w:rPr>
        <w:t>（以下</w:t>
      </w:r>
      <w:r>
        <w:rPr>
          <w:rFonts w:hint="eastAsia" w:ascii="仿宋" w:hAnsi="仿宋" w:eastAsia="仿宋" w:cs="仿宋"/>
          <w:color w:val="000000"/>
          <w:sz w:val="24"/>
          <w:szCs w:val="24"/>
          <w:highlight w:val="none"/>
          <w:u w:val="single"/>
          <w:lang w:val="en-US" w:eastAsia="zh-CN"/>
        </w:rPr>
        <w:t>简</w:t>
      </w:r>
      <w:r>
        <w:rPr>
          <w:rFonts w:hint="eastAsia" w:ascii="仿宋" w:hAnsi="仿宋" w:eastAsia="仿宋" w:cs="仿宋"/>
          <w:color w:val="000000"/>
          <w:sz w:val="24"/>
          <w:szCs w:val="24"/>
          <w:highlight w:val="none"/>
          <w:u w:val="single"/>
        </w:rPr>
        <w:t>称“贵方”）</w:t>
      </w:r>
    </w:p>
    <w:p w14:paraId="75CCBA16">
      <w:pPr>
        <w:snapToGrid w:val="0"/>
        <w:ind w:firstLine="480" w:firstLineChars="20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很高兴有机会参与贵方的</w:t>
      </w:r>
      <w:r>
        <w:rPr>
          <w:rFonts w:hint="eastAsia" w:ascii="仿宋" w:hAnsi="仿宋" w:eastAsia="仿宋" w:cs="仿宋"/>
          <w:color w:val="000000"/>
          <w:sz w:val="24"/>
          <w:szCs w:val="24"/>
          <w:highlight w:val="none"/>
          <w:u w:val="single"/>
          <w:lang w:eastAsia="zh-CN"/>
        </w:rPr>
        <w:t>特力金钻大厦年度维修工程</w:t>
      </w:r>
      <w:r>
        <w:rPr>
          <w:rFonts w:hint="eastAsia" w:ascii="仿宋" w:hAnsi="仿宋" w:eastAsia="仿宋" w:cs="仿宋"/>
          <w:color w:val="000000" w:themeColor="text1"/>
          <w:sz w:val="24"/>
          <w:szCs w:val="24"/>
          <w:highlight w:val="none"/>
          <w14:textFill>
            <w14:solidFill>
              <w14:schemeClr w14:val="tx1"/>
            </w14:solidFill>
          </w14:textFill>
        </w:rPr>
        <w:t>的投标，我司已于202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日收到贵方所发的《</w:t>
      </w:r>
      <w:r>
        <w:rPr>
          <w:rFonts w:hint="eastAsia" w:ascii="仿宋" w:hAnsi="仿宋" w:eastAsia="仿宋" w:cs="仿宋"/>
          <w:color w:val="000000"/>
          <w:sz w:val="24"/>
          <w:szCs w:val="24"/>
          <w:highlight w:val="none"/>
          <w:u w:val="single"/>
          <w:lang w:eastAsia="zh-CN"/>
        </w:rPr>
        <w:t>特力金钻大厦年度维修工程</w:t>
      </w:r>
      <w:r>
        <w:rPr>
          <w:rFonts w:hint="eastAsia" w:ascii="仿宋" w:hAnsi="仿宋" w:eastAsia="仿宋" w:cs="仿宋"/>
          <w:color w:val="000000" w:themeColor="text1"/>
          <w:sz w:val="24"/>
          <w:szCs w:val="24"/>
          <w:highlight w:val="none"/>
          <w:u w:val="single"/>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》经研究决定，我司在此郑重承诺：</w:t>
      </w:r>
    </w:p>
    <w:p w14:paraId="60751305">
      <w:pPr>
        <w:snapToGrid w:val="0"/>
        <w:ind w:firstLine="480" w:firstLineChars="200"/>
        <w:rPr>
          <w:rFonts w:hint="eastAsia" w:ascii="仿宋" w:hAnsi="仿宋" w:eastAsia="仿宋" w:cs="仿宋"/>
          <w:sz w:val="22"/>
          <w:highlight w:val="none"/>
        </w:rPr>
      </w:pPr>
      <w:r>
        <w:rPr>
          <w:rFonts w:hint="eastAsia" w:ascii="仿宋" w:hAnsi="仿宋" w:eastAsia="仿宋" w:cs="仿宋"/>
          <w:color w:val="000000" w:themeColor="text1"/>
          <w:sz w:val="24"/>
          <w:szCs w:val="24"/>
          <w:highlight w:val="none"/>
          <w14:textFill>
            <w14:solidFill>
              <w14:schemeClr w14:val="tx1"/>
            </w14:solidFill>
          </w14:textFill>
        </w:rPr>
        <w:t>1.我司投标下浮率为</w:t>
      </w:r>
      <w:r>
        <w:rPr>
          <w:rFonts w:hint="eastAsia" w:ascii="仿宋" w:hAnsi="仿宋" w:eastAsia="仿宋" w:cs="仿宋"/>
          <w:b/>
          <w:bCs/>
          <w:color w:val="000000" w:themeColor="text1"/>
          <w:sz w:val="24"/>
          <w:szCs w:val="24"/>
          <w:highlight w:val="none"/>
          <w14:textFill>
            <w14:solidFill>
              <w14:schemeClr w14:val="tx1"/>
            </w14:solidFill>
          </w14:textFill>
        </w:rPr>
        <w:t>（投标单位根据自身情况填写）</w:t>
      </w:r>
      <w:r>
        <w:rPr>
          <w:rFonts w:hint="eastAsia" w:ascii="仿宋" w:hAnsi="仿宋" w:eastAsia="仿宋" w:cs="仿宋"/>
          <w:color w:val="000000" w:themeColor="text1"/>
          <w:sz w:val="24"/>
          <w:szCs w:val="24"/>
          <w:highlight w:val="none"/>
          <w14:textFill>
            <w14:solidFill>
              <w14:schemeClr w14:val="tx1"/>
            </w14:solidFill>
          </w14:textFill>
        </w:rPr>
        <w:t>，税率为</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（投标单位填写）</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工期</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（投标单位根据自身情况填写）</w:t>
      </w:r>
      <w:r>
        <w:rPr>
          <w:rFonts w:hint="eastAsia" w:ascii="仿宋" w:hAnsi="仿宋" w:eastAsia="仿宋" w:cs="仿宋"/>
          <w:color w:val="000000" w:themeColor="text1"/>
          <w:sz w:val="24"/>
          <w:szCs w:val="24"/>
          <w:highlight w:val="none"/>
          <w14:textFill>
            <w14:solidFill>
              <w14:schemeClr w14:val="tx1"/>
            </w14:solidFill>
          </w14:textFill>
        </w:rPr>
        <w:t>日历天。</w:t>
      </w:r>
      <w:r>
        <w:rPr>
          <w:rFonts w:hint="eastAsia" w:ascii="仿宋" w:hAnsi="仿宋" w:eastAsia="仿宋" w:cs="仿宋"/>
          <w:color w:val="auto"/>
          <w:sz w:val="24"/>
          <w:szCs w:val="24"/>
        </w:rPr>
        <w:t>整体以合同签订之日起</w:t>
      </w:r>
      <w:r>
        <w:rPr>
          <w:rFonts w:hint="eastAsia" w:ascii="仿宋" w:hAnsi="仿宋" w:eastAsia="仿宋" w:cs="仿宋"/>
          <w:color w:val="auto"/>
          <w:sz w:val="24"/>
          <w:szCs w:val="24"/>
          <w:lang w:val="en-US" w:eastAsia="zh-CN"/>
        </w:rPr>
        <w:t>一年内</w:t>
      </w:r>
      <w:r>
        <w:rPr>
          <w:rFonts w:hint="eastAsia" w:ascii="仿宋" w:hAnsi="仿宋" w:eastAsia="仿宋" w:cs="仿宋"/>
          <w:color w:val="auto"/>
          <w:sz w:val="24"/>
          <w:szCs w:val="24"/>
        </w:rPr>
        <w:t>，对目前已确定维修事项，我司承诺在</w:t>
      </w:r>
      <w:r>
        <w:rPr>
          <w:rFonts w:hint="eastAsia" w:ascii="仿宋" w:hAnsi="仿宋" w:eastAsia="仿宋" w:cs="仿宋"/>
          <w:b/>
          <w:bCs/>
          <w:color w:val="auto"/>
          <w:sz w:val="24"/>
          <w:szCs w:val="24"/>
          <w:u w:val="single"/>
        </w:rPr>
        <w:t>（投标单位根据自身情况填写）</w:t>
      </w:r>
      <w:r>
        <w:rPr>
          <w:rFonts w:hint="eastAsia" w:ascii="仿宋" w:hAnsi="仿宋" w:eastAsia="仿宋" w:cs="仿宋"/>
          <w:color w:val="auto"/>
          <w:sz w:val="24"/>
          <w:szCs w:val="24"/>
        </w:rPr>
        <w:t>日历天全部维修完成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lang w:eastAsia="zh-CN"/>
        </w:rPr>
        <w:t>后续发现需维修事项，一般维修事项自接到甲方通知起，</w:t>
      </w:r>
      <w:r>
        <w:rPr>
          <w:rFonts w:hint="eastAsia" w:ascii="仿宋" w:hAnsi="仿宋" w:eastAsia="仿宋" w:cs="仿宋"/>
          <w:color w:val="auto"/>
          <w:sz w:val="24"/>
          <w:szCs w:val="24"/>
        </w:rPr>
        <w:t>我司承诺在</w:t>
      </w:r>
      <w:r>
        <w:rPr>
          <w:rFonts w:hint="eastAsia" w:ascii="仿宋" w:hAnsi="仿宋" w:eastAsia="仿宋" w:cs="仿宋"/>
          <w:b/>
          <w:bCs/>
          <w:color w:val="auto"/>
          <w:sz w:val="24"/>
          <w:szCs w:val="24"/>
          <w:u w:val="single"/>
        </w:rPr>
        <w:t>（投标单位根据自身情况填写）</w:t>
      </w:r>
      <w:r>
        <w:rPr>
          <w:rFonts w:hint="eastAsia" w:ascii="仿宋" w:hAnsi="仿宋" w:eastAsia="仿宋" w:cs="仿宋"/>
          <w:color w:val="auto"/>
          <w:sz w:val="24"/>
          <w:szCs w:val="24"/>
        </w:rPr>
        <w:t>日历天全部维修完成</w:t>
      </w:r>
      <w:r>
        <w:rPr>
          <w:rFonts w:hint="eastAsia" w:ascii="仿宋" w:hAnsi="仿宋" w:eastAsia="仿宋" w:cs="仿宋"/>
          <w:color w:val="auto"/>
          <w:sz w:val="24"/>
          <w:szCs w:val="24"/>
          <w:lang w:eastAsia="zh-CN"/>
        </w:rPr>
        <w:t>。</w:t>
      </w:r>
      <w:r>
        <w:rPr>
          <w:rFonts w:hint="eastAsia" w:ascii="仿宋" w:hAnsi="仿宋" w:eastAsia="仿宋" w:cs="仿宋"/>
          <w:color w:val="000000" w:themeColor="text1"/>
          <w:sz w:val="24"/>
          <w:szCs w:val="24"/>
          <w:highlight w:val="none"/>
          <w14:textFill>
            <w14:solidFill>
              <w14:schemeClr w14:val="tx1"/>
            </w14:solidFill>
          </w14:textFill>
        </w:rPr>
        <w:t>我司已经详细阅读该招标文件所有内容，充分领会并完全接受招标文件所述投标方应尽的实质性的权</w:t>
      </w:r>
      <w:r>
        <w:rPr>
          <w:rFonts w:hint="eastAsia" w:ascii="仿宋" w:hAnsi="仿宋" w:eastAsia="仿宋" w:cs="仿宋"/>
          <w:sz w:val="24"/>
          <w:szCs w:val="24"/>
          <w:highlight w:val="none"/>
        </w:rPr>
        <w:t>利与义务。我司保证不会对招标文件产生不利于双方友好合作关系和将增加贵方招标范围内经济支出的重大误解。</w:t>
      </w:r>
    </w:p>
    <w:p w14:paraId="73899DCD">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2.我司确认，贵方发出的招标文件所有内容为不可割裂的整体。</w:t>
      </w:r>
    </w:p>
    <w:p w14:paraId="701E4499">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3.我司履行合同文件所约定的一切相关职责。</w:t>
      </w:r>
    </w:p>
    <w:p w14:paraId="75229F09">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4.</w:t>
      </w:r>
      <w:r>
        <w:rPr>
          <w:rFonts w:hint="eastAsia" w:ascii="仿宋" w:hAnsi="仿宋" w:eastAsia="仿宋" w:cs="仿宋"/>
          <w:b/>
          <w:bCs/>
          <w:sz w:val="24"/>
          <w:szCs w:val="24"/>
          <w:highlight w:val="none"/>
          <w:u w:val="single"/>
        </w:rPr>
        <w:t>我司保证中标后不会对中标价格提出任何异议，更不会以任何理由要求贵方针对中标范围的价款要求额外补偿。</w:t>
      </w:r>
      <w:r>
        <w:rPr>
          <w:rFonts w:hint="eastAsia" w:ascii="仿宋" w:hAnsi="仿宋" w:eastAsia="仿宋" w:cs="仿宋"/>
          <w:sz w:val="24"/>
          <w:szCs w:val="24"/>
          <w:highlight w:val="none"/>
        </w:rPr>
        <w:t>不会以不了解招标文件、合同文件为由或曲解、片面理解招标文件、合同文件或割裂招标文件、合同文件，断章取义，向贵方提出任何补偿要求。</w:t>
      </w:r>
    </w:p>
    <w:p w14:paraId="704D8261">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5.在本工程的履约过程中，如因我司的货物质量、供货时间等未达到贵我双方签署的合同中所约定的目标及贵司根据工程进展而做出的调整的要求时，我司保证承担因此而给贵司带来的所有经济上的损失。</w:t>
      </w:r>
    </w:p>
    <w:p w14:paraId="32D94E07">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6.我司将本工程作为重点项目对待，保证不会出现资金、人员不能满足施工需要的现象。为满足本工程业主及贵方在质量、进度、安全、环保上的要求，我司将采取一切措施保证各项资源满足贵司的要求，并保证不会因此而向贵方提出增加任何补偿要求。</w:t>
      </w:r>
    </w:p>
    <w:p w14:paraId="2D085F1D">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7.我司承诺无论本工程最终的成本状况如何，将不会违背合同基本原则而向贵方要求增加或补偿合同文件约定以外的任何费用。</w:t>
      </w:r>
    </w:p>
    <w:p w14:paraId="708D9642">
      <w:pPr>
        <w:snapToGrid w:val="0"/>
        <w:spacing w:after="30"/>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b/>
          <w:bCs/>
          <w:color w:val="000000" w:themeColor="text1"/>
          <w:sz w:val="24"/>
          <w:szCs w:val="24"/>
          <w:highlight w:val="none"/>
          <w14:textFill>
            <w14:solidFill>
              <w14:schemeClr w14:val="tx1"/>
            </w14:solidFill>
          </w14:textFill>
        </w:rPr>
        <w:t>经我司投标组人员研究决定：我方投标报价金额各文件中数额如存在冲突，则以对招标人有利为准。</w:t>
      </w:r>
    </w:p>
    <w:p w14:paraId="498C3164">
      <w:pPr>
        <w:snapToGrid w:val="0"/>
        <w:spacing w:after="30"/>
        <w:rPr>
          <w:rFonts w:hint="eastAsia" w:ascii="仿宋" w:hAnsi="仿宋" w:eastAsia="仿宋" w:cs="仿宋"/>
          <w:color w:val="333333"/>
          <w:sz w:val="22"/>
          <w:highlight w:val="none"/>
        </w:rPr>
      </w:pPr>
    </w:p>
    <w:p w14:paraId="7FE6D714">
      <w:pPr>
        <w:snapToGrid w:val="0"/>
        <w:spacing w:after="30"/>
        <w:rPr>
          <w:rFonts w:hint="eastAsia" w:ascii="仿宋" w:hAnsi="仿宋" w:eastAsia="仿宋" w:cs="仿宋"/>
          <w:sz w:val="22"/>
          <w:highlight w:val="none"/>
        </w:rPr>
      </w:pPr>
    </w:p>
    <w:p w14:paraId="076A7BC7">
      <w:pPr>
        <w:snapToGrid w:val="0"/>
        <w:spacing w:after="30"/>
        <w:rPr>
          <w:rFonts w:hint="eastAsia" w:ascii="仿宋" w:hAnsi="仿宋" w:eastAsia="仿宋" w:cs="仿宋"/>
          <w:sz w:val="22"/>
          <w:highlight w:val="none"/>
        </w:rPr>
      </w:pPr>
    </w:p>
    <w:p w14:paraId="70315189">
      <w:pPr>
        <w:snapToGrid w:val="0"/>
        <w:spacing w:after="30"/>
        <w:rPr>
          <w:rFonts w:hint="eastAsia" w:ascii="仿宋" w:hAnsi="仿宋" w:eastAsia="仿宋" w:cs="仿宋"/>
          <w:sz w:val="22"/>
          <w:highlight w:val="none"/>
        </w:rPr>
      </w:pPr>
    </w:p>
    <w:p w14:paraId="5AB77B58">
      <w:pPr>
        <w:snapToGrid w:val="0"/>
        <w:spacing w:after="30"/>
        <w:rPr>
          <w:rFonts w:hint="eastAsia" w:ascii="仿宋" w:hAnsi="仿宋" w:eastAsia="仿宋" w:cs="仿宋"/>
          <w:sz w:val="22"/>
          <w:highlight w:val="none"/>
        </w:rPr>
      </w:pPr>
    </w:p>
    <w:p w14:paraId="25F3677A">
      <w:pPr>
        <w:snapToGrid w:val="0"/>
        <w:spacing w:after="3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公司名称（加盖公章）</w:t>
      </w:r>
    </w:p>
    <w:p w14:paraId="774A30D5">
      <w:pPr>
        <w:snapToGrid w:val="0"/>
        <w:spacing w:after="30"/>
        <w:jc w:val="right"/>
        <w:rPr>
          <w:rFonts w:hint="eastAsia" w:ascii="仿宋" w:hAnsi="仿宋" w:eastAsia="仿宋" w:cs="仿宋"/>
          <w:sz w:val="24"/>
          <w:szCs w:val="24"/>
          <w:highlight w:val="none"/>
        </w:rPr>
      </w:pPr>
    </w:p>
    <w:p w14:paraId="3C273649">
      <w:pPr>
        <w:snapToGrid w:val="0"/>
        <w:spacing w:after="30"/>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年    月    日 </w:t>
      </w:r>
    </w:p>
    <w:p w14:paraId="0AA2B597">
      <w:pPr>
        <w:rPr>
          <w:b/>
          <w:sz w:val="28"/>
          <w:szCs w:val="28"/>
          <w:highlight w:val="none"/>
        </w:rPr>
      </w:pPr>
    </w:p>
    <w:p w14:paraId="660B22FE">
      <w:pPr>
        <w:rPr>
          <w:b/>
          <w:sz w:val="28"/>
          <w:szCs w:val="28"/>
          <w:highlight w:val="none"/>
        </w:rPr>
      </w:pPr>
    </w:p>
    <w:p w14:paraId="6490B0DF">
      <w:pPr>
        <w:rPr>
          <w:rFonts w:hint="eastAsia"/>
          <w:b/>
          <w:sz w:val="24"/>
          <w:szCs w:val="24"/>
          <w:highlight w:val="none"/>
          <w:lang w:val="en-US" w:eastAsia="zh-CN"/>
        </w:rPr>
      </w:pPr>
    </w:p>
    <w:p w14:paraId="1B884CEE">
      <w:pPr>
        <w:rPr>
          <w:rFonts w:hint="eastAsia"/>
          <w:b/>
          <w:sz w:val="24"/>
          <w:szCs w:val="24"/>
          <w:highlight w:val="none"/>
        </w:rPr>
      </w:pPr>
      <w:r>
        <w:rPr>
          <w:rFonts w:hint="eastAsia"/>
          <w:b/>
          <w:sz w:val="24"/>
          <w:szCs w:val="24"/>
          <w:highlight w:val="none"/>
          <w:lang w:val="en-US" w:eastAsia="zh-CN"/>
        </w:rPr>
        <w:t>附件2：已有维修清单</w:t>
      </w:r>
      <w:r>
        <w:rPr>
          <w:rFonts w:hint="eastAsia"/>
          <w:b/>
          <w:sz w:val="24"/>
          <w:szCs w:val="24"/>
          <w:highlight w:val="none"/>
        </w:rPr>
        <w:br w:type="page"/>
      </w:r>
    </w:p>
    <w:p w14:paraId="0BBFCB5D">
      <w:pPr>
        <w:rPr>
          <w:rFonts w:hint="default"/>
          <w:b/>
          <w:sz w:val="24"/>
          <w:szCs w:val="24"/>
          <w:highlight w:val="none"/>
          <w:lang w:val="en-US" w:eastAsia="zh-CN"/>
        </w:rPr>
      </w:pPr>
      <w:r>
        <w:rPr>
          <w:rFonts w:hint="eastAsia"/>
          <w:b/>
          <w:sz w:val="24"/>
          <w:szCs w:val="24"/>
          <w:highlight w:val="none"/>
          <w:lang w:val="en-US" w:eastAsia="zh-CN"/>
        </w:rPr>
        <w:t>附件3</w:t>
      </w:r>
    </w:p>
    <w:p w14:paraId="458F03F3">
      <w:pPr>
        <w:snapToGrid w:val="0"/>
        <w:spacing w:line="300" w:lineRule="auto"/>
        <w:ind w:firstLine="5040" w:firstLineChars="1800"/>
        <w:rPr>
          <w:rFonts w:ascii="仿宋" w:hAnsi="仿宋" w:eastAsia="仿宋"/>
          <w:color w:val="000000"/>
          <w:sz w:val="28"/>
          <w:szCs w:val="28"/>
          <w:highlight w:val="none"/>
        </w:rPr>
      </w:pPr>
      <w:r>
        <w:rPr>
          <w:rFonts w:ascii="仿宋" w:hAnsi="仿宋" w:eastAsia="仿宋"/>
          <w:color w:val="000000"/>
          <w:sz w:val="28"/>
          <w:szCs w:val="28"/>
          <w:highlight w:val="none"/>
        </w:rPr>
        <w:t>合同编号:</w:t>
      </w:r>
    </w:p>
    <w:p w14:paraId="5A50914A">
      <w:pPr>
        <w:snapToGrid w:val="0"/>
        <w:spacing w:line="300" w:lineRule="auto"/>
        <w:ind w:firstLine="5040" w:firstLineChars="1800"/>
        <w:rPr>
          <w:rFonts w:ascii="仿宋" w:hAnsi="仿宋" w:eastAsia="仿宋"/>
          <w:color w:val="000000"/>
          <w:sz w:val="28"/>
          <w:szCs w:val="28"/>
          <w:highlight w:val="none"/>
        </w:rPr>
      </w:pPr>
    </w:p>
    <w:p w14:paraId="72018C6D">
      <w:pPr>
        <w:snapToGrid w:val="0"/>
        <w:spacing w:line="300" w:lineRule="auto"/>
        <w:ind w:firstLine="5040" w:firstLineChars="1800"/>
        <w:rPr>
          <w:rFonts w:ascii="仿宋" w:hAnsi="仿宋" w:eastAsia="仿宋"/>
          <w:color w:val="000000"/>
          <w:sz w:val="28"/>
          <w:szCs w:val="28"/>
          <w:highlight w:val="none"/>
        </w:rPr>
      </w:pPr>
    </w:p>
    <w:p w14:paraId="14E71D6C">
      <w:pPr>
        <w:snapToGrid w:val="0"/>
        <w:spacing w:line="300" w:lineRule="auto"/>
        <w:ind w:firstLine="5040" w:firstLineChars="1800"/>
        <w:rPr>
          <w:rFonts w:ascii="仿宋" w:hAnsi="仿宋" w:eastAsia="仿宋"/>
          <w:color w:val="000000"/>
          <w:sz w:val="28"/>
          <w:szCs w:val="28"/>
          <w:highlight w:val="none"/>
        </w:rPr>
      </w:pPr>
    </w:p>
    <w:p w14:paraId="6211BEBB">
      <w:pPr>
        <w:pStyle w:val="2"/>
        <w:snapToGrid w:val="0"/>
        <w:spacing w:line="240" w:lineRule="auto"/>
        <w:jc w:val="center"/>
        <w:rPr>
          <w:rFonts w:hint="eastAsia" w:ascii="宋体" w:hAnsi="宋体" w:eastAsia="宋体"/>
          <w:color w:val="000000"/>
          <w:sz w:val="44"/>
          <w:szCs w:val="44"/>
          <w:highlight w:val="none"/>
          <w:lang w:eastAsia="zh-CN"/>
        </w:rPr>
      </w:pPr>
      <w:r>
        <w:rPr>
          <w:rFonts w:hint="eastAsia" w:ascii="宋体" w:hAnsi="宋体" w:eastAsia="宋体"/>
          <w:color w:val="000000"/>
          <w:sz w:val="44"/>
          <w:szCs w:val="44"/>
          <w:highlight w:val="none"/>
          <w:lang w:eastAsia="zh-CN"/>
        </w:rPr>
        <w:t>特力金钻大厦年度维修工程</w:t>
      </w:r>
    </w:p>
    <w:p w14:paraId="301664A2">
      <w:pPr>
        <w:pStyle w:val="2"/>
        <w:snapToGrid w:val="0"/>
        <w:spacing w:line="240" w:lineRule="auto"/>
        <w:jc w:val="center"/>
        <w:rPr>
          <w:rFonts w:ascii="宋体" w:hAnsi="宋体" w:eastAsia="宋体"/>
          <w:color w:val="000000"/>
          <w:sz w:val="44"/>
          <w:szCs w:val="44"/>
          <w:highlight w:val="none"/>
        </w:rPr>
      </w:pPr>
      <w:r>
        <w:rPr>
          <w:rFonts w:hint="eastAsia" w:ascii="宋体" w:hAnsi="宋体" w:eastAsia="宋体"/>
          <w:color w:val="000000"/>
          <w:sz w:val="44"/>
          <w:szCs w:val="44"/>
          <w:highlight w:val="none"/>
          <w:lang w:val="en-US" w:eastAsia="zh-CN"/>
        </w:rPr>
        <w:t>框架</w:t>
      </w:r>
      <w:r>
        <w:rPr>
          <w:rFonts w:hint="eastAsia" w:ascii="宋体" w:hAnsi="宋体" w:eastAsia="宋体"/>
          <w:color w:val="000000"/>
          <w:sz w:val="44"/>
          <w:szCs w:val="44"/>
          <w:highlight w:val="none"/>
        </w:rPr>
        <w:t>施工合同</w:t>
      </w:r>
    </w:p>
    <w:p w14:paraId="330B194C">
      <w:pPr>
        <w:rPr>
          <w:highlight w:val="none"/>
        </w:rPr>
      </w:pPr>
    </w:p>
    <w:p w14:paraId="2872D70B">
      <w:pPr>
        <w:rPr>
          <w:highlight w:val="none"/>
        </w:rPr>
      </w:pPr>
    </w:p>
    <w:p w14:paraId="3744256B">
      <w:pPr>
        <w:rPr>
          <w:highlight w:val="none"/>
        </w:rPr>
      </w:pPr>
    </w:p>
    <w:p w14:paraId="229CA918">
      <w:pPr>
        <w:rPr>
          <w:highlight w:val="none"/>
        </w:rPr>
      </w:pPr>
    </w:p>
    <w:p w14:paraId="2F6162EA">
      <w:pPr>
        <w:rPr>
          <w:highlight w:val="none"/>
        </w:rPr>
      </w:pPr>
    </w:p>
    <w:p w14:paraId="6BF8A746">
      <w:pPr>
        <w:rPr>
          <w:highlight w:val="none"/>
        </w:rPr>
      </w:pPr>
    </w:p>
    <w:p w14:paraId="13EBF659">
      <w:pPr>
        <w:rPr>
          <w:highlight w:val="none"/>
        </w:rPr>
      </w:pPr>
    </w:p>
    <w:p w14:paraId="4F41F7A1">
      <w:pPr>
        <w:rPr>
          <w:highlight w:val="none"/>
        </w:rPr>
      </w:pPr>
    </w:p>
    <w:p w14:paraId="35E1EB46">
      <w:pPr>
        <w:rPr>
          <w:highlight w:val="none"/>
        </w:rPr>
      </w:pPr>
    </w:p>
    <w:p w14:paraId="1382936F">
      <w:pPr>
        <w:rPr>
          <w:highlight w:val="none"/>
        </w:rPr>
      </w:pPr>
    </w:p>
    <w:p w14:paraId="00EE4352">
      <w:pPr>
        <w:rPr>
          <w:highlight w:val="none"/>
        </w:rPr>
      </w:pPr>
    </w:p>
    <w:p w14:paraId="7A4352BE">
      <w:pPr>
        <w:rPr>
          <w:rFonts w:hint="default" w:eastAsiaTheme="minorEastAsia"/>
          <w:highlight w:val="none"/>
          <w:lang w:val="en-US" w:eastAsia="zh-CN"/>
        </w:rPr>
      </w:pPr>
    </w:p>
    <w:p w14:paraId="18C98B52">
      <w:pPr>
        <w:rPr>
          <w:rFonts w:hint="default" w:eastAsiaTheme="minorEastAsia"/>
          <w:highlight w:val="none"/>
          <w:lang w:val="en-US" w:eastAsia="zh-CN"/>
        </w:rPr>
      </w:pPr>
    </w:p>
    <w:p w14:paraId="7CCBBBE8">
      <w:pPr>
        <w:rPr>
          <w:rFonts w:hint="default" w:eastAsiaTheme="minorEastAsia"/>
          <w:highlight w:val="none"/>
          <w:lang w:val="en-US" w:eastAsia="zh-CN"/>
        </w:rPr>
      </w:pPr>
    </w:p>
    <w:p w14:paraId="7DA66275">
      <w:pPr>
        <w:rPr>
          <w:rFonts w:hint="default" w:eastAsiaTheme="minorEastAsia"/>
          <w:highlight w:val="none"/>
          <w:lang w:val="en-US" w:eastAsia="zh-CN"/>
        </w:rPr>
      </w:pPr>
    </w:p>
    <w:p w14:paraId="701E6CC6">
      <w:pPr>
        <w:rPr>
          <w:rFonts w:hint="default" w:eastAsiaTheme="minorEastAsia"/>
          <w:highlight w:val="none"/>
          <w:lang w:val="en-US" w:eastAsia="zh-CN"/>
        </w:rPr>
      </w:pPr>
    </w:p>
    <w:p w14:paraId="5CCCB04F">
      <w:pPr>
        <w:rPr>
          <w:rFonts w:hint="default" w:eastAsiaTheme="minorEastAsia"/>
          <w:highlight w:val="none"/>
          <w:lang w:val="en-US" w:eastAsia="zh-CN"/>
        </w:rPr>
      </w:pPr>
    </w:p>
    <w:p w14:paraId="2956CF75">
      <w:pPr>
        <w:rPr>
          <w:rFonts w:hint="default" w:eastAsiaTheme="minorEastAsia"/>
          <w:highlight w:val="none"/>
          <w:lang w:val="en-US" w:eastAsia="zh-CN"/>
        </w:rPr>
      </w:pPr>
    </w:p>
    <w:p w14:paraId="2D376E99">
      <w:pPr>
        <w:rPr>
          <w:rFonts w:hint="default" w:eastAsiaTheme="minorEastAsia"/>
          <w:highlight w:val="none"/>
          <w:lang w:val="en-US" w:eastAsia="zh-CN"/>
        </w:rPr>
      </w:pPr>
    </w:p>
    <w:p w14:paraId="1D0839BA">
      <w:pPr>
        <w:rPr>
          <w:rFonts w:hint="default" w:eastAsiaTheme="minorEastAsia"/>
          <w:highlight w:val="none"/>
          <w:lang w:val="en-US" w:eastAsia="zh-CN"/>
        </w:rPr>
      </w:pPr>
    </w:p>
    <w:p w14:paraId="45A28837">
      <w:pPr>
        <w:rPr>
          <w:highlight w:val="none"/>
        </w:rPr>
      </w:pPr>
    </w:p>
    <w:p w14:paraId="775C1765">
      <w:pPr>
        <w:snapToGrid w:val="0"/>
        <w:ind w:firstLine="2072"/>
        <w:jc w:val="center"/>
        <w:rPr>
          <w:rFonts w:ascii="微软雅黑" w:hAnsi="微软雅黑" w:eastAsia="微软雅黑"/>
          <w:color w:val="333333"/>
          <w:sz w:val="22"/>
          <w:highlight w:val="none"/>
        </w:rPr>
      </w:pPr>
    </w:p>
    <w:p w14:paraId="381E7E3F">
      <w:pPr>
        <w:snapToGrid w:val="0"/>
        <w:ind w:firstLine="1290"/>
        <w:jc w:val="center"/>
        <w:rPr>
          <w:rFonts w:ascii="微软雅黑" w:hAnsi="微软雅黑" w:eastAsia="微软雅黑"/>
          <w:b/>
          <w:bCs/>
          <w:color w:val="333333"/>
          <w:sz w:val="22"/>
          <w:highlight w:val="none"/>
        </w:rPr>
      </w:pPr>
    </w:p>
    <w:p w14:paraId="28F16328">
      <w:pPr>
        <w:snapToGrid w:val="0"/>
        <w:spacing w:line="276" w:lineRule="auto"/>
        <w:ind w:firstLine="631"/>
        <w:rPr>
          <w:rFonts w:hint="eastAsia" w:ascii="宋体" w:hAnsi="宋体" w:eastAsia="宋体"/>
          <w:b/>
          <w:bCs/>
          <w:color w:val="000000"/>
          <w:sz w:val="28"/>
          <w:szCs w:val="28"/>
          <w:highlight w:val="none"/>
          <w:u w:val="single"/>
          <w:lang w:eastAsia="zh-CN"/>
        </w:rPr>
      </w:pPr>
      <w:r>
        <w:rPr>
          <w:rFonts w:ascii="宋体" w:hAnsi="宋体" w:eastAsia="宋体"/>
          <w:b/>
          <w:bCs/>
          <w:color w:val="000000"/>
          <w:sz w:val="28"/>
          <w:szCs w:val="28"/>
          <w:highlight w:val="none"/>
        </w:rPr>
        <w:t>工程名称：</w:t>
      </w:r>
      <w:r>
        <w:rPr>
          <w:rFonts w:hint="eastAsia" w:ascii="宋体" w:hAnsi="宋体" w:eastAsia="宋体"/>
          <w:b/>
          <w:bCs/>
          <w:color w:val="000000"/>
          <w:sz w:val="28"/>
          <w:szCs w:val="28"/>
          <w:highlight w:val="none"/>
          <w:u w:val="single"/>
          <w:lang w:eastAsia="zh-CN"/>
        </w:rPr>
        <w:t>特力金钻大厦年度维修工程</w:t>
      </w:r>
    </w:p>
    <w:p w14:paraId="63EE2C32">
      <w:pPr>
        <w:snapToGrid w:val="0"/>
        <w:spacing w:line="1000" w:lineRule="exact"/>
        <w:ind w:firstLine="631"/>
        <w:rPr>
          <w:rFonts w:ascii="宋体" w:hAnsi="宋体" w:eastAsia="宋体"/>
          <w:b/>
          <w:bCs/>
          <w:color w:val="000000"/>
          <w:sz w:val="28"/>
          <w:szCs w:val="28"/>
          <w:highlight w:val="none"/>
          <w:u w:val="single"/>
        </w:rPr>
      </w:pPr>
      <w:r>
        <w:rPr>
          <w:rFonts w:ascii="宋体" w:hAnsi="宋体" w:eastAsia="宋体"/>
          <w:b/>
          <w:bCs/>
          <w:color w:val="000000"/>
          <w:sz w:val="28"/>
          <w:szCs w:val="28"/>
          <w:highlight w:val="none"/>
        </w:rPr>
        <w:t>工程地点：</w:t>
      </w:r>
      <w:r>
        <w:rPr>
          <w:rFonts w:ascii="宋体" w:hAnsi="宋体" w:eastAsia="宋体"/>
          <w:b/>
          <w:bCs/>
          <w:color w:val="000000"/>
          <w:sz w:val="28"/>
          <w:szCs w:val="28"/>
          <w:highlight w:val="none"/>
          <w:u w:val="single"/>
        </w:rPr>
        <w:t>深圳市罗湖区</w:t>
      </w:r>
    </w:p>
    <w:p w14:paraId="27662B04">
      <w:pPr>
        <w:widowControl/>
        <w:jc w:val="left"/>
        <w:rPr>
          <w:rFonts w:ascii="宋体" w:hAnsi="宋体" w:eastAsia="宋体"/>
          <w:color w:val="000000"/>
          <w:sz w:val="24"/>
          <w:szCs w:val="24"/>
          <w:highlight w:val="none"/>
        </w:rPr>
      </w:pPr>
      <w:r>
        <w:rPr>
          <w:rFonts w:ascii="宋体" w:hAnsi="宋体" w:eastAsia="宋体"/>
          <w:b/>
          <w:bCs/>
          <w:color w:val="000000"/>
          <w:sz w:val="24"/>
          <w:szCs w:val="24"/>
          <w:highlight w:val="none"/>
        </w:rPr>
        <w:br w:type="page"/>
      </w:r>
    </w:p>
    <w:tbl>
      <w:tblPr>
        <w:tblStyle w:val="17"/>
        <w:tblW w:w="8080" w:type="dxa"/>
        <w:tblInd w:w="0" w:type="dxa"/>
        <w:tblLayout w:type="fixed"/>
        <w:tblCellMar>
          <w:top w:w="0" w:type="dxa"/>
          <w:left w:w="108" w:type="dxa"/>
          <w:bottom w:w="0" w:type="dxa"/>
          <w:right w:w="108" w:type="dxa"/>
        </w:tblCellMar>
      </w:tblPr>
      <w:tblGrid>
        <w:gridCol w:w="1701"/>
        <w:gridCol w:w="3119"/>
        <w:gridCol w:w="3260"/>
      </w:tblGrid>
      <w:tr w14:paraId="27530131">
        <w:tblPrEx>
          <w:tblCellMar>
            <w:top w:w="0" w:type="dxa"/>
            <w:left w:w="108" w:type="dxa"/>
            <w:bottom w:w="0" w:type="dxa"/>
            <w:right w:w="108" w:type="dxa"/>
          </w:tblCellMar>
        </w:tblPrEx>
        <w:trPr>
          <w:trHeight w:val="773" w:hRule="atLeast"/>
        </w:trPr>
        <w:tc>
          <w:tcPr>
            <w:tcW w:w="1701" w:type="dxa"/>
          </w:tcPr>
          <w:p w14:paraId="26B36298">
            <w:pPr>
              <w:autoSpaceDE w:val="0"/>
              <w:autoSpaceDN w:val="0"/>
              <w:spacing w:line="300" w:lineRule="auto"/>
              <w:rPr>
                <w:rFonts w:ascii="宋体" w:hAnsi="宋体" w:cs="宋体"/>
                <w:b/>
                <w:bCs/>
                <w:sz w:val="24"/>
                <w:highlight w:val="none"/>
              </w:rPr>
            </w:pPr>
            <w:r>
              <w:rPr>
                <w:rFonts w:hint="eastAsia" w:ascii="宋体" w:hAnsi="宋体" w:cs="宋体"/>
                <w:b/>
                <w:bCs/>
                <w:sz w:val="24"/>
                <w:highlight w:val="none"/>
              </w:rPr>
              <w:t>建设单位：</w:t>
            </w:r>
          </w:p>
        </w:tc>
        <w:tc>
          <w:tcPr>
            <w:tcW w:w="3119" w:type="dxa"/>
          </w:tcPr>
          <w:p w14:paraId="714AFFC6">
            <w:pPr>
              <w:autoSpaceDE w:val="0"/>
              <w:autoSpaceDN w:val="0"/>
              <w:spacing w:line="300" w:lineRule="auto"/>
              <w:rPr>
                <w:rFonts w:ascii="宋体" w:hAnsi="宋体" w:cs="宋体"/>
                <w:b/>
                <w:bCs/>
                <w:sz w:val="24"/>
                <w:highlight w:val="none"/>
              </w:rPr>
            </w:pPr>
          </w:p>
        </w:tc>
        <w:tc>
          <w:tcPr>
            <w:tcW w:w="3260" w:type="dxa"/>
          </w:tcPr>
          <w:p w14:paraId="5D3FC79C">
            <w:pPr>
              <w:autoSpaceDE w:val="0"/>
              <w:autoSpaceDN w:val="0"/>
              <w:spacing w:line="300" w:lineRule="auto"/>
              <w:rPr>
                <w:rFonts w:ascii="宋体" w:hAnsi="宋体" w:cs="宋体"/>
                <w:b/>
                <w:bCs/>
                <w:sz w:val="24"/>
                <w:highlight w:val="none"/>
              </w:rPr>
            </w:pPr>
            <w:r>
              <w:rPr>
                <w:rFonts w:hint="eastAsia" w:ascii="宋体" w:hAnsi="宋体" w:cs="宋体"/>
                <w:b/>
                <w:bCs/>
                <w:sz w:val="24"/>
                <w:highlight w:val="none"/>
              </w:rPr>
              <w:t>（以下简称甲方）</w:t>
            </w:r>
          </w:p>
        </w:tc>
      </w:tr>
      <w:tr w14:paraId="0B88D6EB">
        <w:tblPrEx>
          <w:tblCellMar>
            <w:top w:w="0" w:type="dxa"/>
            <w:left w:w="108" w:type="dxa"/>
            <w:bottom w:w="0" w:type="dxa"/>
            <w:right w:w="108" w:type="dxa"/>
          </w:tblCellMar>
        </w:tblPrEx>
        <w:trPr>
          <w:trHeight w:val="762" w:hRule="atLeast"/>
        </w:trPr>
        <w:tc>
          <w:tcPr>
            <w:tcW w:w="1701" w:type="dxa"/>
          </w:tcPr>
          <w:p w14:paraId="3DC11A9F">
            <w:pPr>
              <w:spacing w:line="480" w:lineRule="auto"/>
              <w:rPr>
                <w:rFonts w:ascii="宋体" w:hAnsi="宋体" w:cs="宋体"/>
                <w:b/>
                <w:bCs/>
                <w:sz w:val="24"/>
                <w:highlight w:val="none"/>
              </w:rPr>
            </w:pPr>
            <w:r>
              <w:rPr>
                <w:rFonts w:hint="eastAsia" w:ascii="宋体" w:hAnsi="宋体" w:cs="宋体"/>
                <w:b/>
                <w:bCs/>
                <w:sz w:val="24"/>
                <w:highlight w:val="none"/>
              </w:rPr>
              <w:t>施工单位：</w:t>
            </w:r>
          </w:p>
        </w:tc>
        <w:tc>
          <w:tcPr>
            <w:tcW w:w="3119" w:type="dxa"/>
          </w:tcPr>
          <w:p w14:paraId="6B9440BD">
            <w:pPr>
              <w:spacing w:line="480" w:lineRule="auto"/>
              <w:rPr>
                <w:rFonts w:ascii="宋体" w:hAnsi="宋体" w:cs="宋体"/>
                <w:b/>
                <w:bCs/>
                <w:sz w:val="10"/>
                <w:szCs w:val="10"/>
                <w:highlight w:val="none"/>
              </w:rPr>
            </w:pPr>
          </w:p>
        </w:tc>
        <w:tc>
          <w:tcPr>
            <w:tcW w:w="3260" w:type="dxa"/>
          </w:tcPr>
          <w:p w14:paraId="4BA1D32E">
            <w:pPr>
              <w:spacing w:line="480" w:lineRule="auto"/>
              <w:rPr>
                <w:rFonts w:ascii="宋体" w:hAnsi="宋体" w:cs="宋体"/>
                <w:b/>
                <w:bCs/>
                <w:sz w:val="24"/>
                <w:highlight w:val="none"/>
              </w:rPr>
            </w:pPr>
            <w:r>
              <w:rPr>
                <w:rFonts w:hint="eastAsia" w:ascii="宋体" w:hAnsi="宋体" w:cs="宋体"/>
                <w:b/>
                <w:bCs/>
                <w:sz w:val="24"/>
                <w:highlight w:val="none"/>
              </w:rPr>
              <w:t>（以下简称乙方）</w:t>
            </w:r>
          </w:p>
        </w:tc>
      </w:tr>
    </w:tbl>
    <w:p w14:paraId="76316272">
      <w:pPr>
        <w:snapToGrid w:val="0"/>
        <w:spacing w:line="360" w:lineRule="auto"/>
        <w:ind w:firstLine="480" w:firstLineChars="200"/>
        <w:jc w:val="left"/>
        <w:rPr>
          <w:rFonts w:ascii="微软雅黑" w:hAnsi="微软雅黑" w:eastAsia="微软雅黑"/>
          <w:color w:val="333333"/>
          <w:sz w:val="22"/>
          <w:highlight w:val="none"/>
        </w:rPr>
      </w:pPr>
      <w:r>
        <w:rPr>
          <w:rFonts w:ascii="宋体" w:hAnsi="宋体" w:eastAsia="宋体"/>
          <w:color w:val="000000"/>
          <w:sz w:val="24"/>
          <w:szCs w:val="24"/>
          <w:highlight w:val="none"/>
        </w:rPr>
        <w:t>根据《中华人民共和国民法典》</w:t>
      </w:r>
      <w:r>
        <w:rPr>
          <w:rFonts w:hint="eastAsia" w:ascii="宋体" w:hAnsi="宋体" w:eastAsia="宋体"/>
          <w:color w:val="000000"/>
          <w:sz w:val="24"/>
          <w:szCs w:val="24"/>
          <w:highlight w:val="none"/>
        </w:rPr>
        <w:t xml:space="preserve"> </w:t>
      </w:r>
      <w:r>
        <w:rPr>
          <w:rFonts w:ascii="宋体" w:hAnsi="宋体" w:eastAsia="宋体"/>
          <w:color w:val="000000"/>
          <w:sz w:val="24"/>
          <w:szCs w:val="24"/>
          <w:highlight w:val="none"/>
        </w:rPr>
        <w:t>《中华人民共和国建筑法》及其他有关法律、法规，遵循平等、自愿、公平和诚实信用的原则，经友好协商，双方就</w:t>
      </w:r>
      <w:r>
        <w:rPr>
          <w:rFonts w:hint="eastAsia" w:ascii="宋体" w:hAnsi="宋体" w:eastAsia="宋体"/>
          <w:color w:val="000000"/>
          <w:sz w:val="24"/>
          <w:szCs w:val="24"/>
          <w:highlight w:val="none"/>
          <w:u w:val="single"/>
          <w:lang w:eastAsia="zh-CN"/>
        </w:rPr>
        <w:t>特力金钻大厦年度维修工程</w:t>
      </w:r>
      <w:r>
        <w:rPr>
          <w:rFonts w:ascii="宋体" w:hAnsi="宋体" w:eastAsia="宋体"/>
          <w:color w:val="000000"/>
          <w:sz w:val="24"/>
          <w:szCs w:val="24"/>
          <w:highlight w:val="none"/>
        </w:rPr>
        <w:t>事项协商一致，特签订本合同，以资共同遵守。</w:t>
      </w:r>
    </w:p>
    <w:p w14:paraId="434CC718">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第一条 工程概况</w:t>
      </w:r>
    </w:p>
    <w:p w14:paraId="7F3FF1DF">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工程名称：</w:t>
      </w:r>
      <w:r>
        <w:rPr>
          <w:rFonts w:hint="eastAsia" w:ascii="宋体" w:hAnsi="宋体" w:eastAsia="宋体"/>
          <w:color w:val="000000"/>
          <w:sz w:val="24"/>
          <w:szCs w:val="24"/>
          <w:highlight w:val="none"/>
          <w:lang w:eastAsia="zh-CN"/>
        </w:rPr>
        <w:t>特力金钻大厦年度维修工程。</w:t>
      </w:r>
    </w:p>
    <w:p w14:paraId="0C2FD2C1">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工程地点：</w:t>
      </w:r>
      <w:r>
        <w:rPr>
          <w:rFonts w:hint="eastAsia" w:ascii="宋体" w:hAnsi="宋体" w:eastAsia="宋体"/>
          <w:color w:val="000000"/>
          <w:sz w:val="24"/>
          <w:szCs w:val="24"/>
          <w:highlight w:val="none"/>
        </w:rPr>
        <w:t>深圳市罗湖区</w:t>
      </w:r>
      <w:r>
        <w:rPr>
          <w:rFonts w:hint="eastAsia" w:ascii="宋体" w:hAnsi="宋体" w:eastAsia="宋体"/>
          <w:color w:val="000000"/>
          <w:sz w:val="24"/>
          <w:szCs w:val="24"/>
          <w:highlight w:val="none"/>
          <w:lang w:eastAsia="zh-CN"/>
        </w:rPr>
        <w:t>特力金钻大厦。</w:t>
      </w:r>
    </w:p>
    <w:p w14:paraId="2DFC5CAF">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工程范围：</w:t>
      </w:r>
      <w:r>
        <w:rPr>
          <w:rFonts w:hint="eastAsia" w:ascii="宋体" w:hAnsi="宋体" w:eastAsia="宋体"/>
          <w:color w:val="000000"/>
          <w:sz w:val="24"/>
          <w:szCs w:val="24"/>
          <w:highlight w:val="none"/>
          <w:lang w:eastAsia="zh-CN"/>
        </w:rPr>
        <w:t>特力金钻大厦</w:t>
      </w:r>
      <w:r>
        <w:rPr>
          <w:rFonts w:hint="eastAsia" w:ascii="宋体" w:hAnsi="宋体" w:eastAsia="宋体"/>
          <w:color w:val="000000"/>
          <w:sz w:val="24"/>
          <w:szCs w:val="24"/>
          <w:highlight w:val="none"/>
          <w:lang w:val="en-US" w:eastAsia="zh-CN"/>
        </w:rPr>
        <w:t>整栋年度零星维修事项。</w:t>
      </w:r>
    </w:p>
    <w:p w14:paraId="185AF28A">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承包方式：</w:t>
      </w:r>
      <w:r>
        <w:rPr>
          <w:rFonts w:hint="eastAsia" w:ascii="宋体" w:hAnsi="宋体" w:eastAsia="宋体"/>
          <w:color w:val="000000"/>
          <w:sz w:val="24"/>
          <w:szCs w:val="24"/>
          <w:highlight w:val="none"/>
        </w:rPr>
        <w:t>包设计、包工、包料、包工期、包质量、包安全、包文明施工、包施工措施、包竣工验收等承包人为履行本合同义务所需的所有费用。</w:t>
      </w:r>
    </w:p>
    <w:p w14:paraId="5853F738">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第二条  工期要求</w:t>
      </w:r>
    </w:p>
    <w:p w14:paraId="4B0E85C3">
      <w:pPr>
        <w:numPr>
          <w:ilvl w:val="0"/>
          <w:numId w:val="12"/>
        </w:numPr>
        <w:snapToGrid w:val="0"/>
        <w:spacing w:line="360" w:lineRule="auto"/>
        <w:rPr>
          <w:rFonts w:hint="eastAsia" w:ascii="宋体" w:hAnsi="宋体" w:eastAsia="宋体"/>
          <w:color w:val="000000"/>
          <w:sz w:val="24"/>
          <w:szCs w:val="24"/>
          <w:highlight w:val="none"/>
        </w:rPr>
      </w:pPr>
      <w:r>
        <w:rPr>
          <w:rFonts w:ascii="宋体" w:hAnsi="宋体" w:eastAsia="宋体"/>
          <w:color w:val="000000"/>
          <w:sz w:val="24"/>
          <w:szCs w:val="24"/>
          <w:highlight w:val="none"/>
        </w:rPr>
        <w:t>开工日期：</w:t>
      </w:r>
      <w:r>
        <w:rPr>
          <w:rFonts w:hint="eastAsia" w:ascii="宋体" w:hAnsi="宋体" w:eastAsia="宋体"/>
          <w:color w:val="000000"/>
          <w:sz w:val="24"/>
          <w:szCs w:val="24"/>
          <w:highlight w:val="none"/>
        </w:rPr>
        <w:t>以甲方发出的开工令之日为准。</w:t>
      </w:r>
    </w:p>
    <w:p w14:paraId="28FF1DCB">
      <w:pPr>
        <w:numPr>
          <w:ilvl w:val="0"/>
          <w:numId w:val="12"/>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总工期：</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u w:val="single"/>
        </w:rPr>
        <w:t xml:space="preserve"> </w:t>
      </w:r>
      <w:r>
        <w:rPr>
          <w:rFonts w:ascii="宋体" w:hAnsi="宋体" w:eastAsia="宋体"/>
          <w:color w:val="000000"/>
          <w:sz w:val="24"/>
          <w:szCs w:val="24"/>
          <w:highlight w:val="none"/>
          <w:u w:val="single"/>
        </w:rPr>
        <w:t xml:space="preserve"> </w:t>
      </w:r>
      <w:r>
        <w:rPr>
          <w:rFonts w:ascii="宋体" w:hAnsi="宋体" w:eastAsia="宋体"/>
          <w:color w:val="000000"/>
          <w:sz w:val="24"/>
          <w:szCs w:val="24"/>
          <w:highlight w:val="none"/>
        </w:rPr>
        <w:t>日历天</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对已查明确定需维修事项（详见</w:t>
      </w:r>
      <w:r>
        <w:rPr>
          <w:rFonts w:hint="eastAsia" w:ascii="宋体" w:hAnsi="宋体" w:eastAsia="宋体"/>
          <w:color w:val="000000"/>
          <w:sz w:val="24"/>
          <w:szCs w:val="24"/>
          <w:highlight w:val="none"/>
          <w:lang w:val="en-US" w:eastAsia="zh-CN"/>
        </w:rPr>
        <w:t>合同</w:t>
      </w:r>
      <w:r>
        <w:rPr>
          <w:rFonts w:hint="eastAsia" w:ascii="宋体" w:hAnsi="宋体" w:eastAsia="宋体"/>
          <w:color w:val="000000"/>
          <w:sz w:val="24"/>
          <w:szCs w:val="24"/>
          <w:highlight w:val="none"/>
        </w:rPr>
        <w:t>附件</w:t>
      </w:r>
      <w:r>
        <w:rPr>
          <w:rFonts w:hint="eastAsia" w:ascii="宋体" w:hAnsi="宋体" w:eastAsia="宋体"/>
          <w:color w:val="000000"/>
          <w:sz w:val="24"/>
          <w:szCs w:val="24"/>
          <w:highlight w:val="none"/>
          <w:lang w:val="en-US" w:eastAsia="zh-CN"/>
        </w:rPr>
        <w:t>二</w:t>
      </w:r>
      <w:r>
        <w:rPr>
          <w:rFonts w:hint="eastAsia" w:ascii="宋体" w:hAnsi="宋体" w:eastAsia="宋体"/>
          <w:color w:val="000000"/>
          <w:sz w:val="24"/>
          <w:szCs w:val="24"/>
          <w:highlight w:val="none"/>
          <w:lang w:eastAsia="zh-CN"/>
        </w:rPr>
        <w:t>已有维修清单</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自甲方下发开工令之日起，</w:t>
      </w:r>
      <w:r>
        <w:rPr>
          <w:rFonts w:hint="eastAsia" w:ascii="宋体" w:hAnsi="宋体" w:eastAsia="宋体"/>
          <w:color w:val="000000"/>
          <w:sz w:val="24"/>
          <w:szCs w:val="24"/>
          <w:highlight w:val="none"/>
        </w:rPr>
        <w:t>需在</w:t>
      </w:r>
      <w:r>
        <w:rPr>
          <w:rFonts w:hint="eastAsia" w:ascii="宋体" w:hAnsi="宋体" w:eastAsia="宋体"/>
          <w:color w:val="000000"/>
          <w:sz w:val="24"/>
          <w:szCs w:val="24"/>
          <w:highlight w:val="none"/>
          <w:u w:val="single"/>
          <w:lang w:val="en-US" w:eastAsia="zh-CN"/>
        </w:rPr>
        <w:t xml:space="preserve">    </w:t>
      </w:r>
      <w:r>
        <w:rPr>
          <w:rFonts w:hint="eastAsia" w:ascii="宋体" w:hAnsi="宋体" w:eastAsia="宋体"/>
          <w:color w:val="000000"/>
          <w:sz w:val="24"/>
          <w:szCs w:val="24"/>
          <w:highlight w:val="none"/>
        </w:rPr>
        <w:t>个日历天内完成全部维修，</w:t>
      </w:r>
      <w:r>
        <w:rPr>
          <w:rFonts w:hint="eastAsia" w:ascii="宋体" w:hAnsi="宋体" w:eastAsia="宋体"/>
          <w:color w:val="000000"/>
          <w:sz w:val="24"/>
          <w:szCs w:val="24"/>
          <w:highlight w:val="none"/>
          <w:lang w:val="en-US" w:eastAsia="zh-CN"/>
        </w:rPr>
        <w:t>对合同附件二</w:t>
      </w:r>
      <w:r>
        <w:rPr>
          <w:rFonts w:hint="eastAsia" w:eastAsia="宋体"/>
          <w:lang w:val="en-US" w:eastAsia="zh-CN"/>
        </w:rPr>
        <w:t>《</w:t>
      </w:r>
      <w:r>
        <w:rPr>
          <w:rFonts w:hint="eastAsia" w:ascii="宋体" w:hAnsi="宋体" w:eastAsia="宋体"/>
          <w:color w:val="000000"/>
          <w:sz w:val="24"/>
          <w:szCs w:val="24"/>
          <w:highlight w:val="none"/>
          <w:lang w:val="en-US" w:eastAsia="zh-CN"/>
        </w:rPr>
        <w:t>维修清单》以外新发现</w:t>
      </w:r>
      <w:r>
        <w:rPr>
          <w:rFonts w:hint="eastAsia" w:ascii="宋体" w:hAnsi="宋体" w:eastAsia="宋体"/>
          <w:color w:val="000000"/>
          <w:sz w:val="24"/>
          <w:szCs w:val="24"/>
          <w:highlight w:val="none"/>
        </w:rPr>
        <w:t>需维修</w:t>
      </w:r>
      <w:r>
        <w:rPr>
          <w:rFonts w:hint="eastAsia" w:ascii="宋体" w:hAnsi="宋体" w:eastAsia="宋体"/>
          <w:color w:val="000000"/>
          <w:sz w:val="24"/>
          <w:szCs w:val="24"/>
          <w:highlight w:val="none"/>
          <w:lang w:val="en-US" w:eastAsia="zh-CN"/>
        </w:rPr>
        <w:t>的</w:t>
      </w:r>
      <w:r>
        <w:rPr>
          <w:rFonts w:hint="eastAsia" w:ascii="宋体" w:hAnsi="宋体" w:eastAsia="宋体"/>
          <w:color w:val="000000"/>
          <w:sz w:val="24"/>
          <w:szCs w:val="24"/>
          <w:highlight w:val="none"/>
        </w:rPr>
        <w:t>事项，一般维修事项自接到甲方</w:t>
      </w:r>
      <w:r>
        <w:rPr>
          <w:rFonts w:hint="eastAsia" w:ascii="宋体" w:hAnsi="宋体" w:eastAsia="宋体"/>
          <w:color w:val="000000"/>
          <w:sz w:val="24"/>
          <w:szCs w:val="24"/>
          <w:highlight w:val="none"/>
          <w:lang w:val="en-US" w:eastAsia="zh-CN"/>
        </w:rPr>
        <w:t>开工令之日</w:t>
      </w:r>
      <w:r>
        <w:rPr>
          <w:rFonts w:hint="eastAsia" w:ascii="宋体" w:hAnsi="宋体" w:eastAsia="宋体"/>
          <w:color w:val="000000"/>
          <w:sz w:val="24"/>
          <w:szCs w:val="24"/>
          <w:highlight w:val="none"/>
        </w:rPr>
        <w:t>起，</w:t>
      </w:r>
      <w:r>
        <w:rPr>
          <w:rFonts w:hint="eastAsia" w:ascii="宋体" w:hAnsi="宋体" w:eastAsia="宋体"/>
          <w:color w:val="000000"/>
          <w:sz w:val="24"/>
          <w:szCs w:val="24"/>
          <w:highlight w:val="none"/>
          <w:u w:val="single"/>
          <w:lang w:val="en-US" w:eastAsia="zh-CN"/>
        </w:rPr>
        <w:t xml:space="preserve">   </w:t>
      </w:r>
      <w:r>
        <w:rPr>
          <w:rFonts w:hint="eastAsia" w:ascii="宋体" w:hAnsi="宋体" w:eastAsia="宋体"/>
          <w:color w:val="000000"/>
          <w:sz w:val="24"/>
          <w:szCs w:val="24"/>
          <w:highlight w:val="none"/>
        </w:rPr>
        <w:t>个日历天内完成维修</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因特殊事项需较长维修时间的，由</w:t>
      </w:r>
      <w:r>
        <w:rPr>
          <w:rFonts w:hint="eastAsia" w:ascii="宋体" w:hAnsi="宋体" w:eastAsia="宋体"/>
          <w:color w:val="000000"/>
          <w:sz w:val="24"/>
          <w:szCs w:val="24"/>
          <w:highlight w:val="none"/>
          <w:lang w:val="en-US" w:eastAsia="zh-CN"/>
        </w:rPr>
        <w:t>乙方</w:t>
      </w:r>
      <w:r>
        <w:rPr>
          <w:rFonts w:hint="eastAsia" w:ascii="宋体" w:hAnsi="宋体" w:eastAsia="宋体"/>
          <w:color w:val="000000"/>
          <w:sz w:val="24"/>
          <w:szCs w:val="24"/>
          <w:highlight w:val="none"/>
        </w:rPr>
        <w:t>在提报维修（改造）方案及造价预算中列明工期计划，报甲方审批后实施。</w:t>
      </w:r>
    </w:p>
    <w:p w14:paraId="186789F2">
      <w:pPr>
        <w:numPr>
          <w:ilvl w:val="0"/>
          <w:numId w:val="12"/>
        </w:numPr>
        <w:snapToGrid w:val="0"/>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乙方应在接到甲方开工令之日起，在约定的工期时间内完成</w:t>
      </w:r>
      <w:r>
        <w:rPr>
          <w:rFonts w:ascii="宋体" w:hAnsi="宋体" w:eastAsia="宋体"/>
          <w:color w:val="000000"/>
          <w:sz w:val="24"/>
          <w:szCs w:val="24"/>
          <w:highlight w:val="none"/>
        </w:rPr>
        <w:t>竣工验收</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因乙方原因造成的工程延期</w:t>
      </w:r>
      <w:r>
        <w:rPr>
          <w:rFonts w:hint="eastAsia" w:ascii="宋体" w:hAnsi="宋体" w:eastAsia="宋体"/>
          <w:color w:val="000000"/>
          <w:sz w:val="24"/>
          <w:szCs w:val="24"/>
          <w:highlight w:val="none"/>
        </w:rPr>
        <w:t>，按违约责任相关条款进行处罚。</w:t>
      </w:r>
    </w:p>
    <w:p w14:paraId="712FB2D6">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第三条  质量标准</w:t>
      </w:r>
    </w:p>
    <w:p w14:paraId="2972AFA7">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工程质量应达到国家、</w:t>
      </w:r>
      <w:r>
        <w:rPr>
          <w:rFonts w:hint="eastAsia" w:ascii="宋体" w:hAnsi="宋体" w:eastAsia="宋体"/>
          <w:color w:val="000000"/>
          <w:sz w:val="24"/>
          <w:szCs w:val="24"/>
          <w:highlight w:val="none"/>
        </w:rPr>
        <w:t>广东</w:t>
      </w:r>
      <w:r>
        <w:rPr>
          <w:rFonts w:ascii="宋体" w:hAnsi="宋体" w:eastAsia="宋体"/>
          <w:color w:val="000000"/>
          <w:sz w:val="24"/>
          <w:szCs w:val="24"/>
          <w:highlight w:val="none"/>
        </w:rPr>
        <w:t>省、</w:t>
      </w:r>
      <w:r>
        <w:rPr>
          <w:rFonts w:hint="eastAsia" w:ascii="宋体" w:hAnsi="宋体" w:eastAsia="宋体"/>
          <w:color w:val="000000"/>
          <w:sz w:val="24"/>
          <w:szCs w:val="24"/>
          <w:highlight w:val="none"/>
        </w:rPr>
        <w:t>深圳</w:t>
      </w:r>
      <w:r>
        <w:rPr>
          <w:rFonts w:ascii="宋体" w:hAnsi="宋体" w:eastAsia="宋体"/>
          <w:color w:val="000000"/>
          <w:sz w:val="24"/>
          <w:szCs w:val="24"/>
          <w:highlight w:val="none"/>
        </w:rPr>
        <w:t>市及行业现行有关工程建设技术标准的合格标准</w:t>
      </w:r>
      <w:r>
        <w:rPr>
          <w:rFonts w:hint="eastAsia" w:ascii="宋体" w:hAnsi="宋体" w:eastAsia="宋体"/>
          <w:color w:val="000000"/>
          <w:sz w:val="24"/>
          <w:szCs w:val="24"/>
          <w:highlight w:val="none"/>
        </w:rPr>
        <w:t>，标准不一致的，以更严格者为准</w:t>
      </w:r>
      <w:r>
        <w:rPr>
          <w:rFonts w:ascii="宋体" w:hAnsi="宋体" w:eastAsia="宋体"/>
          <w:color w:val="000000"/>
          <w:sz w:val="24"/>
          <w:szCs w:val="24"/>
          <w:highlight w:val="none"/>
        </w:rPr>
        <w:t>。以国家或行业的质量检验评定标准为依据。</w:t>
      </w:r>
    </w:p>
    <w:p w14:paraId="4848A7ED">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乙方应建立质量保证体系，甲方有权对体系的任何方面进行审查。乙方应遵守质量保证体系，以及合同约定的乙方的任何义务和职责。</w:t>
      </w:r>
    </w:p>
    <w:p w14:paraId="405FC202">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因甲方原因造成工程质量未达到合同约定标准的，由甲方承担由此增加的费用和（或）延误的工期。</w:t>
      </w:r>
    </w:p>
    <w:p w14:paraId="203E445B">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因乙方原因造成工程质量未达到合同约定标准的，甲方有权要求乙方返工直至工程质量达到合同约定的标准为止，并由乙方承担由此增加的费用和（或）延误的工期。</w:t>
      </w:r>
    </w:p>
    <w:p w14:paraId="6A734577">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所有主要材料进场前需经甲方现场工程师确认后方可投入使用。</w:t>
      </w:r>
    </w:p>
    <w:p w14:paraId="10E7DE27">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第四条  费用及付款方式</w:t>
      </w:r>
    </w:p>
    <w:p w14:paraId="0E35A554">
      <w:pPr>
        <w:snapToGrid w:val="0"/>
        <w:spacing w:line="360" w:lineRule="auto"/>
        <w:ind w:firstLine="480"/>
        <w:outlineLvl w:val="1"/>
        <w:rPr>
          <w:rFonts w:ascii="微软雅黑" w:hAnsi="微软雅黑" w:eastAsia="微软雅黑"/>
          <w:color w:val="333333"/>
          <w:sz w:val="22"/>
          <w:highlight w:val="none"/>
        </w:rPr>
      </w:pPr>
      <w:r>
        <w:rPr>
          <w:rFonts w:ascii="宋体" w:hAnsi="宋体" w:eastAsia="宋体"/>
          <w:color w:val="000000"/>
          <w:sz w:val="24"/>
          <w:szCs w:val="24"/>
          <w:highlight w:val="none"/>
        </w:rPr>
        <w:t>（一）工程量清单</w:t>
      </w:r>
    </w:p>
    <w:p w14:paraId="3146E9F9">
      <w:pPr>
        <w:numPr>
          <w:ilvl w:val="0"/>
          <w:numId w:val="14"/>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本合同为固定下浮率合同</w:t>
      </w:r>
      <w:r>
        <w:rPr>
          <w:rFonts w:hint="eastAsia" w:ascii="宋体" w:hAnsi="宋体" w:eastAsia="宋体"/>
          <w:color w:val="000000"/>
          <w:sz w:val="24"/>
          <w:szCs w:val="24"/>
          <w:highlight w:val="none"/>
          <w:lang w:eastAsia="zh-CN"/>
        </w:rPr>
        <w:t>，</w:t>
      </w:r>
      <w:r>
        <w:rPr>
          <w:rFonts w:hint="eastAsia" w:ascii="宋体" w:hAnsi="宋体" w:eastAsia="宋体" w:cs="宋体"/>
          <w:b/>
          <w:bCs/>
          <w:color w:val="auto"/>
          <w:sz w:val="24"/>
          <w:szCs w:val="24"/>
        </w:rPr>
        <w:t>下浮率为</w:t>
      </w:r>
      <w:r>
        <w:rPr>
          <w:rFonts w:hint="eastAsia" w:ascii="宋体" w:hAnsi="宋体" w:eastAsia="宋体" w:cs="宋体"/>
          <w:b/>
          <w:bCs/>
          <w:color w:val="auto"/>
          <w:sz w:val="24"/>
          <w:szCs w:val="24"/>
          <w:u w:val="single"/>
        </w:rPr>
        <w:t xml:space="preserve">    </w:t>
      </w:r>
      <w:r>
        <w:rPr>
          <w:rFonts w:hint="eastAsia" w:ascii="宋体" w:hAnsi="宋体" w:eastAsia="宋体"/>
          <w:color w:val="000000"/>
          <w:sz w:val="24"/>
          <w:szCs w:val="24"/>
          <w:highlight w:val="none"/>
        </w:rPr>
        <w:t>。对已查明需维修事项按清单项下浮后进行包干</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包括但不限于</w:t>
      </w:r>
      <w:r>
        <w:rPr>
          <w:rFonts w:hint="eastAsia" w:ascii="宋体" w:hAnsi="宋体" w:eastAsia="宋体"/>
          <w:color w:val="000000"/>
          <w:sz w:val="24"/>
          <w:szCs w:val="24"/>
          <w:highlight w:val="none"/>
          <w:lang w:val="en-US" w:eastAsia="zh-CN"/>
        </w:rPr>
        <w:t>设计费、</w:t>
      </w:r>
      <w:r>
        <w:rPr>
          <w:rFonts w:hint="eastAsia" w:ascii="宋体" w:hAnsi="宋体" w:eastAsia="宋体"/>
          <w:color w:val="000000"/>
          <w:sz w:val="24"/>
          <w:szCs w:val="24"/>
          <w:highlight w:val="none"/>
        </w:rPr>
        <w:t>人工费、材料费、机械费、管理费、保险费、措施费、风险费、损耗费、利润、材料送检、规费、税金等全部费用，后期不得调整。</w:t>
      </w:r>
    </w:p>
    <w:p w14:paraId="48D181CD">
      <w:pPr>
        <w:numPr>
          <w:ilvl w:val="0"/>
          <w:numId w:val="14"/>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本项目为工程框架合同，</w:t>
      </w:r>
      <w:r>
        <w:rPr>
          <w:rFonts w:hint="eastAsia" w:ascii="宋体" w:hAnsi="宋体" w:eastAsia="宋体"/>
          <w:color w:val="000000"/>
          <w:sz w:val="24"/>
          <w:szCs w:val="24"/>
          <w:highlight w:val="none"/>
          <w:lang w:val="en-US" w:eastAsia="zh-CN"/>
        </w:rPr>
        <w:t>对</w:t>
      </w:r>
      <w:r>
        <w:rPr>
          <w:rFonts w:hint="eastAsia" w:eastAsia="宋体"/>
          <w:lang w:val="en-US" w:eastAsia="zh-CN"/>
        </w:rPr>
        <w:t>《</w:t>
      </w:r>
      <w:r>
        <w:rPr>
          <w:rFonts w:hint="eastAsia" w:ascii="宋体" w:hAnsi="宋体" w:eastAsia="宋体"/>
          <w:color w:val="000000"/>
          <w:sz w:val="24"/>
          <w:szCs w:val="24"/>
          <w:highlight w:val="none"/>
          <w:lang w:val="en-US" w:eastAsia="zh-CN"/>
        </w:rPr>
        <w:t>维修清单》以外新</w:t>
      </w:r>
      <w:r>
        <w:rPr>
          <w:rFonts w:hint="eastAsia" w:ascii="宋体" w:hAnsi="宋体" w:eastAsia="宋体"/>
          <w:color w:val="000000"/>
          <w:sz w:val="24"/>
          <w:szCs w:val="24"/>
          <w:highlight w:val="none"/>
        </w:rPr>
        <w:t>发现需维修事项</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单项维修改造工程由施工单位踏勘现场，出具维修改造方案及造价预算，经监理单位确认工程量，报造价咨询单位审核，单项维修改造工程最终造价以造价咨询单位审核为准。</w:t>
      </w:r>
    </w:p>
    <w:p w14:paraId="7A05D1FE">
      <w:pPr>
        <w:numPr>
          <w:ilvl w:val="0"/>
          <w:numId w:val="14"/>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签约合同价</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暂定</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u w:val="single"/>
        </w:rPr>
        <w:tab/>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元（￥</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元）（含增值税税金）；本</w:t>
      </w:r>
      <w:r>
        <w:rPr>
          <w:rFonts w:hint="eastAsia" w:ascii="宋体" w:hAnsi="宋体" w:eastAsia="宋体"/>
          <w:color w:val="000000"/>
          <w:sz w:val="24"/>
          <w:szCs w:val="24"/>
          <w:highlight w:val="none"/>
          <w:lang w:val="en-US" w:eastAsia="zh-CN"/>
        </w:rPr>
        <w:t>框架合同，</w:t>
      </w:r>
      <w:r>
        <w:rPr>
          <w:rFonts w:hint="eastAsia" w:ascii="宋体" w:hAnsi="宋体" w:eastAsia="宋体"/>
          <w:color w:val="000000"/>
          <w:sz w:val="24"/>
          <w:szCs w:val="24"/>
          <w:highlight w:val="none"/>
        </w:rPr>
        <w:t>结算总价不得超过合同暂定价（</w:t>
      </w:r>
      <w:r>
        <w:rPr>
          <w:rFonts w:hint="eastAsia" w:ascii="宋体" w:hAnsi="宋体" w:eastAsia="宋体"/>
          <w:color w:val="000000"/>
          <w:sz w:val="24"/>
          <w:szCs w:val="24"/>
          <w:highlight w:val="none"/>
          <w:lang w:val="en-US" w:eastAsia="zh-CN"/>
        </w:rPr>
        <w:t>48.2</w:t>
      </w:r>
      <w:r>
        <w:rPr>
          <w:rFonts w:hint="eastAsia" w:ascii="宋体" w:hAnsi="宋体" w:eastAsia="宋体"/>
          <w:color w:val="000000"/>
          <w:sz w:val="24"/>
          <w:szCs w:val="24"/>
          <w:highlight w:val="none"/>
        </w:rPr>
        <w:t>万元），本合同最终结算价以实际结算价与合同暂定价（</w:t>
      </w:r>
      <w:r>
        <w:rPr>
          <w:rFonts w:hint="eastAsia" w:ascii="宋体" w:hAnsi="宋体" w:eastAsia="宋体"/>
          <w:color w:val="000000"/>
          <w:sz w:val="24"/>
          <w:szCs w:val="24"/>
          <w:highlight w:val="none"/>
          <w:lang w:val="en-US" w:eastAsia="zh-CN"/>
        </w:rPr>
        <w:t>48.2</w:t>
      </w:r>
      <w:r>
        <w:rPr>
          <w:rFonts w:hint="eastAsia" w:ascii="宋体" w:hAnsi="宋体" w:eastAsia="宋体"/>
          <w:color w:val="000000"/>
          <w:sz w:val="24"/>
          <w:szCs w:val="24"/>
          <w:highlight w:val="none"/>
        </w:rPr>
        <w:t>万元）两者中低者为准。</w:t>
      </w:r>
    </w:p>
    <w:p w14:paraId="2477591A">
      <w:pPr>
        <w:numPr>
          <w:ilvl w:val="0"/>
          <w:numId w:val="14"/>
        </w:numPr>
        <w:snapToGrid w:val="0"/>
        <w:spacing w:line="360" w:lineRule="auto"/>
        <w:ind w:firstLine="415"/>
        <w:rPr>
          <w:rFonts w:ascii="宋体" w:hAnsi="宋体" w:eastAsia="宋体"/>
          <w:color w:val="000000"/>
          <w:sz w:val="24"/>
          <w:szCs w:val="24"/>
          <w:highlight w:val="none"/>
        </w:rPr>
      </w:pPr>
      <w:r>
        <w:rPr>
          <w:rFonts w:hint="eastAsia" w:ascii="宋体" w:hAnsi="宋体" w:eastAsia="宋体"/>
          <w:color w:val="000000"/>
          <w:sz w:val="24"/>
          <w:szCs w:val="24"/>
          <w:highlight w:val="none"/>
        </w:rPr>
        <w:t>本工程的工程量计算规则采用：</w:t>
      </w:r>
    </w:p>
    <w:p w14:paraId="1A1AC0DF">
      <w:pPr>
        <w:numPr>
          <w:ilvl w:val="0"/>
          <w:numId w:val="15"/>
        </w:numPr>
        <w:snapToGrid w:val="0"/>
        <w:spacing w:line="360" w:lineRule="auto"/>
        <w:ind w:left="454" w:firstLine="396"/>
        <w:rPr>
          <w:rFonts w:ascii="宋体" w:hAnsi="宋体" w:eastAsia="宋体"/>
          <w:color w:val="000000"/>
          <w:sz w:val="24"/>
          <w:szCs w:val="24"/>
          <w:highlight w:val="none"/>
        </w:rPr>
      </w:pPr>
      <w:r>
        <w:rPr>
          <w:rFonts w:hint="eastAsia" w:ascii="宋体" w:hAnsi="宋体" w:eastAsia="宋体"/>
          <w:color w:val="000000"/>
          <w:sz w:val="24"/>
          <w:szCs w:val="24"/>
          <w:highlight w:val="none"/>
        </w:rPr>
        <w:t>《建设工程工程量清单计价标准（GB/T50500-2024）》；</w:t>
      </w:r>
    </w:p>
    <w:p w14:paraId="5F7EF7E8">
      <w:pPr>
        <w:numPr>
          <w:ilvl w:val="0"/>
          <w:numId w:val="15"/>
        </w:numPr>
        <w:snapToGrid w:val="0"/>
        <w:spacing w:line="360" w:lineRule="auto"/>
        <w:ind w:left="454" w:firstLine="396"/>
        <w:rPr>
          <w:rFonts w:ascii="宋体" w:hAnsi="宋体" w:eastAsia="宋体"/>
          <w:color w:val="000000"/>
          <w:sz w:val="24"/>
          <w:szCs w:val="24"/>
          <w:highlight w:val="none"/>
        </w:rPr>
      </w:pPr>
      <w:r>
        <w:rPr>
          <w:rFonts w:hint="eastAsia" w:ascii="宋体" w:hAnsi="宋体" w:eastAsia="宋体"/>
          <w:color w:val="000000"/>
          <w:sz w:val="24"/>
          <w:szCs w:val="24"/>
          <w:highlight w:val="none"/>
        </w:rPr>
        <w:t>《深圳市建设工程计价规程》（2017）。</w:t>
      </w:r>
    </w:p>
    <w:p w14:paraId="3F18E391">
      <w:pPr>
        <w:snapToGrid w:val="0"/>
        <w:spacing w:line="360" w:lineRule="auto"/>
        <w:ind w:firstLine="480"/>
        <w:outlineLvl w:val="1"/>
        <w:rPr>
          <w:rFonts w:ascii="宋体" w:hAnsi="宋体" w:eastAsia="宋体"/>
          <w:color w:val="000000"/>
          <w:sz w:val="24"/>
          <w:szCs w:val="24"/>
          <w:highlight w:val="none"/>
        </w:rPr>
      </w:pPr>
      <w:r>
        <w:rPr>
          <w:rFonts w:ascii="宋体" w:hAnsi="宋体" w:eastAsia="宋体"/>
          <w:color w:val="000000"/>
          <w:sz w:val="24"/>
          <w:szCs w:val="24"/>
          <w:highlight w:val="none"/>
        </w:rPr>
        <w:t>（二）付款方式</w:t>
      </w:r>
    </w:p>
    <w:p w14:paraId="003FB3C9">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工程费用按月支付</w:t>
      </w:r>
    </w:p>
    <w:p w14:paraId="19374EB3">
      <w:pPr>
        <w:numPr>
          <w:ilvl w:val="0"/>
          <w:numId w:val="17"/>
        </w:numPr>
        <w:snapToGrid w:val="0"/>
        <w:spacing w:line="360" w:lineRule="auto"/>
        <w:ind w:left="454" w:leftChars="0" w:firstLine="396" w:firstLineChars="0"/>
        <w:rPr>
          <w:rFonts w:ascii="宋体" w:hAnsi="宋体" w:cs="宋体"/>
          <w:sz w:val="24"/>
          <w:highlight w:val="none"/>
        </w:rPr>
      </w:pPr>
      <w:r>
        <w:rPr>
          <w:rFonts w:hint="eastAsia" w:ascii="宋体" w:hAnsi="宋体" w:eastAsia="宋体" w:cstheme="minorBidi"/>
          <w:color w:val="000000"/>
          <w:sz w:val="24"/>
          <w:szCs w:val="24"/>
          <w:highlight w:val="none"/>
        </w:rPr>
        <w:t>零星维修工程按月进行批量验收并且工程造价经甲方聘请的造价咨询单位审核后，支付至审核总造价的97%。</w:t>
      </w:r>
    </w:p>
    <w:p w14:paraId="6D0A75D1">
      <w:pPr>
        <w:numPr>
          <w:ilvl w:val="0"/>
          <w:numId w:val="17"/>
        </w:numPr>
        <w:snapToGrid w:val="0"/>
        <w:spacing w:line="360" w:lineRule="auto"/>
        <w:ind w:left="454" w:leftChars="0" w:firstLine="396" w:firstLineChars="0"/>
        <w:rPr>
          <w:rFonts w:hint="eastAsia" w:ascii="宋体" w:hAnsi="宋体" w:cs="宋体"/>
          <w:strike w:val="0"/>
          <w:sz w:val="24"/>
          <w:highlight w:val="none"/>
        </w:rPr>
      </w:pPr>
      <w:r>
        <w:rPr>
          <w:rFonts w:hint="eastAsia" w:ascii="宋体" w:hAnsi="宋体" w:cs="宋体"/>
          <w:sz w:val="24"/>
          <w:highlight w:val="none"/>
          <w:lang w:val="en-US" w:eastAsia="zh-CN"/>
        </w:rPr>
        <w:t>每次支付工程款之前</w:t>
      </w:r>
      <w:r>
        <w:rPr>
          <w:rFonts w:hint="eastAsia" w:ascii="宋体" w:hAnsi="宋体" w:cs="宋体"/>
          <w:sz w:val="24"/>
          <w:highlight w:val="none"/>
        </w:rPr>
        <w:t>，还应具备的条件：①施工合同已完成签订；②乙方已完成驻地建设，并且主要人员和设备到场，取得甲方开工令为准；③提供相关真实有效的等额增值税专用发票；④提供“建筑安全一切险”（含第三者责任险）保险发票复印件并加盖乙方单位公章，验原件；</w:t>
      </w:r>
    </w:p>
    <w:p w14:paraId="6C1A940C">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乙方应于每月5日前向甲方提交上月已验收的维修工程结算报告，</w:t>
      </w:r>
      <w:r>
        <w:rPr>
          <w:rFonts w:hint="eastAsia" w:ascii="宋体" w:hAnsi="宋体" w:eastAsia="宋体"/>
          <w:color w:val="000000"/>
          <w:sz w:val="24"/>
          <w:szCs w:val="24"/>
          <w:highlight w:val="none"/>
          <w:lang w:val="en-US" w:eastAsia="zh-CN"/>
        </w:rPr>
        <w:t>未在约定时效提交的，顺延至下个月。</w:t>
      </w:r>
      <w:r>
        <w:rPr>
          <w:rFonts w:hint="eastAsia" w:ascii="宋体" w:hAnsi="宋体" w:eastAsia="宋体"/>
          <w:color w:val="000000"/>
          <w:sz w:val="24"/>
          <w:szCs w:val="24"/>
          <w:highlight w:val="none"/>
        </w:rPr>
        <w:t>经甲方及聘请的造价咨询单位确认后，甲方在确认结算结果后</w:t>
      </w:r>
      <w:r>
        <w:rPr>
          <w:rFonts w:hint="eastAsia" w:ascii="宋体" w:hAnsi="宋体" w:eastAsia="宋体"/>
          <w:color w:val="000000"/>
          <w:sz w:val="24"/>
          <w:szCs w:val="24"/>
          <w:highlight w:val="none"/>
          <w:lang w:eastAsia="zh-CN"/>
        </w:rPr>
        <w:t>2</w:t>
      </w:r>
      <w:r>
        <w:rPr>
          <w:rFonts w:hint="eastAsia" w:ascii="宋体" w:hAnsi="宋体" w:eastAsia="宋体"/>
          <w:color w:val="000000"/>
          <w:sz w:val="24"/>
          <w:szCs w:val="24"/>
          <w:highlight w:val="none"/>
          <w:lang w:val="en-US" w:eastAsia="zh-CN"/>
        </w:rPr>
        <w:t>8</w:t>
      </w:r>
      <w:r>
        <w:rPr>
          <w:rFonts w:hint="eastAsia" w:ascii="宋体" w:hAnsi="宋体" w:eastAsia="宋体"/>
          <w:color w:val="000000"/>
          <w:sz w:val="24"/>
          <w:szCs w:val="24"/>
          <w:highlight w:val="none"/>
        </w:rPr>
        <w:t>天内支付该月工程结算款项的97%（扣除结算价的3%的质量保证金），乙方须同时提供增值税专用发票（发票金额开至结算价100%）。</w:t>
      </w:r>
    </w:p>
    <w:p w14:paraId="008492F3">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甲方向乙方支付工程款前，乙方需向甲方提交付款申请书及等额增值税专用发票，否则甲方有权拒绝付款。同时，乙方保证所提供发票的真实性，如因提供虚假发票造成甲方损失的，甲方将永久保留追索损失的权利；</w:t>
      </w:r>
    </w:p>
    <w:p w14:paraId="11E0BA1F">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本工程约定的工程质量保证金为工程结算价的3%，于工程竣工验收合格之日起满</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年后</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每个单项工程按照其验收时间独立计算</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，无保修质量问题后的30天内，无息支付（扣除所有扣款后的费用总额）。但不免除乙方在工程保修期内的保修责任。</w:t>
      </w:r>
    </w:p>
    <w:p w14:paraId="454F07F9">
      <w:pPr>
        <w:snapToGrid w:val="0"/>
        <w:spacing w:line="360" w:lineRule="auto"/>
        <w:ind w:firstLine="480"/>
        <w:outlineLvl w:val="1"/>
        <w:rPr>
          <w:rFonts w:ascii="宋体" w:hAnsi="宋体" w:eastAsia="宋体"/>
          <w:color w:val="000000"/>
          <w:sz w:val="24"/>
          <w:szCs w:val="24"/>
          <w:highlight w:val="none"/>
        </w:rPr>
      </w:pPr>
      <w:r>
        <w:rPr>
          <w:rFonts w:ascii="宋体" w:hAnsi="宋体" w:eastAsia="宋体"/>
          <w:color w:val="000000"/>
          <w:sz w:val="24"/>
          <w:szCs w:val="24"/>
          <w:highlight w:val="none"/>
        </w:rPr>
        <w:t>（</w:t>
      </w:r>
      <w:r>
        <w:rPr>
          <w:rFonts w:hint="eastAsia" w:ascii="宋体" w:hAnsi="宋体" w:eastAsia="宋体"/>
          <w:color w:val="000000"/>
          <w:sz w:val="24"/>
          <w:szCs w:val="24"/>
          <w:highlight w:val="none"/>
        </w:rPr>
        <w:t>三</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清单未包含单价的</w:t>
      </w:r>
      <w:r>
        <w:rPr>
          <w:rFonts w:ascii="宋体" w:hAnsi="宋体" w:eastAsia="宋体"/>
          <w:color w:val="000000"/>
          <w:sz w:val="24"/>
          <w:szCs w:val="24"/>
          <w:highlight w:val="none"/>
        </w:rPr>
        <w:t>价款的确定方法</w:t>
      </w:r>
    </w:p>
    <w:p w14:paraId="55791D73">
      <w:pPr>
        <w:numPr>
          <w:ilvl w:val="0"/>
          <w:numId w:val="18"/>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《建设工程工程量清单计价标准（GB/T50500-2024）》</w:t>
      </w:r>
      <w:r>
        <w:rPr>
          <w:rFonts w:ascii="宋体" w:hAnsi="宋体" w:eastAsia="宋体"/>
          <w:color w:val="000000"/>
          <w:sz w:val="24"/>
          <w:szCs w:val="24"/>
          <w:highlight w:val="none"/>
        </w:rPr>
        <w:t>；</w:t>
      </w:r>
    </w:p>
    <w:p w14:paraId="3A85F2D8">
      <w:pPr>
        <w:numPr>
          <w:ilvl w:val="0"/>
          <w:numId w:val="18"/>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《房屋建筑与装饰工程工程量计算标准GB/T50854-2024》</w:t>
      </w:r>
      <w:r>
        <w:rPr>
          <w:rFonts w:ascii="宋体" w:hAnsi="宋体" w:eastAsia="宋体"/>
          <w:color w:val="000000"/>
          <w:sz w:val="24"/>
          <w:szCs w:val="24"/>
          <w:highlight w:val="none"/>
        </w:rPr>
        <w:t>；</w:t>
      </w:r>
    </w:p>
    <w:p w14:paraId="447B6369">
      <w:pPr>
        <w:numPr>
          <w:ilvl w:val="0"/>
          <w:numId w:val="18"/>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深圳市建筑装饰工程消耗量标准(2025)》《深圳市建筑工程消耗量标准(2024)》《深圳市市政工程消耗量标准(2024)》《深圳市安装工程消耗量标准(2025)》《深圳市园林建筑绿化工程消耗量定额（2017）（2024机械）》《深圳市建设工程施工工期标准(2017)》《深圳市建设工程施工机械台班消耗量标准（2024）》《深圳市建设工程计价规程》(2017)《深圳市房屋修缮工程消耗量标准（2024）》。</w:t>
      </w:r>
    </w:p>
    <w:p w14:paraId="28D3F3E5">
      <w:pPr>
        <w:numPr>
          <w:ilvl w:val="0"/>
          <w:numId w:val="18"/>
        </w:numPr>
        <w:snapToGrid w:val="0"/>
        <w:spacing w:line="360" w:lineRule="auto"/>
        <w:ind w:left="625" w:firstLine="215"/>
        <w:rPr>
          <w:rFonts w:ascii="宋体" w:hAnsi="宋体" w:eastAsia="宋体"/>
          <w:color w:val="000000"/>
          <w:sz w:val="24"/>
          <w:szCs w:val="24"/>
          <w:highlight w:val="none"/>
        </w:rPr>
      </w:pPr>
      <w:r>
        <w:rPr>
          <w:rFonts w:ascii="宋体" w:hAnsi="宋体" w:eastAsia="宋体"/>
          <w:color w:val="000000"/>
          <w:sz w:val="24"/>
          <w:szCs w:val="24"/>
          <w:highlight w:val="none"/>
        </w:rPr>
        <w:t>单价需按中标下浮率</w:t>
      </w:r>
      <w:r>
        <w:rPr>
          <w:rFonts w:hint="eastAsia" w:ascii="宋体" w:hAnsi="宋体" w:eastAsia="宋体"/>
          <w:b/>
          <w:bCs/>
          <w:color w:val="000000"/>
          <w:sz w:val="24"/>
          <w:szCs w:val="24"/>
          <w:highlight w:val="none"/>
          <w:u w:val="single"/>
        </w:rPr>
        <w:t xml:space="preserve">   %</w:t>
      </w:r>
      <w:r>
        <w:rPr>
          <w:rFonts w:ascii="宋体" w:hAnsi="宋体" w:eastAsia="宋体"/>
          <w:color w:val="000000"/>
          <w:sz w:val="24"/>
          <w:szCs w:val="24"/>
          <w:highlight w:val="none"/>
        </w:rPr>
        <w:t>下浮后确定</w:t>
      </w:r>
      <w:r>
        <w:rPr>
          <w:rFonts w:hint="eastAsia" w:ascii="宋体" w:hAnsi="宋体" w:eastAsia="宋体"/>
          <w:color w:val="000000"/>
          <w:sz w:val="24"/>
          <w:szCs w:val="24"/>
          <w:highlight w:val="none"/>
        </w:rPr>
        <w:t>（中标下浮率=1-投标报价/投标上限价）</w:t>
      </w:r>
      <w:r>
        <w:rPr>
          <w:rFonts w:ascii="宋体" w:hAnsi="宋体" w:eastAsia="宋体"/>
          <w:color w:val="000000"/>
          <w:sz w:val="24"/>
          <w:szCs w:val="24"/>
          <w:highlight w:val="none"/>
        </w:rPr>
        <w:t>。</w:t>
      </w:r>
    </w:p>
    <w:p w14:paraId="041B9E36">
      <w:pPr>
        <w:numPr>
          <w:ilvl w:val="0"/>
          <w:numId w:val="18"/>
        </w:numPr>
        <w:snapToGrid w:val="0"/>
        <w:spacing w:line="360" w:lineRule="auto"/>
        <w:ind w:left="625" w:firstLine="215"/>
        <w:rPr>
          <w:rFonts w:ascii="宋体" w:hAnsi="宋体" w:eastAsia="宋体"/>
          <w:color w:val="000000"/>
          <w:sz w:val="24"/>
          <w:szCs w:val="24"/>
          <w:highlight w:val="none"/>
        </w:rPr>
      </w:pPr>
      <w:r>
        <w:rPr>
          <w:rFonts w:ascii="宋体" w:hAnsi="宋体" w:eastAsia="宋体"/>
          <w:color w:val="000000"/>
          <w:sz w:val="24"/>
          <w:szCs w:val="24"/>
          <w:highlight w:val="none"/>
        </w:rPr>
        <w:t>材料价格按《深圳市建设工程价格信息》（202</w:t>
      </w:r>
      <w:r>
        <w:rPr>
          <w:rFonts w:hint="eastAsia" w:ascii="宋体" w:hAnsi="宋体" w:eastAsia="宋体"/>
          <w:color w:val="000000"/>
          <w:sz w:val="24"/>
          <w:szCs w:val="24"/>
          <w:highlight w:val="none"/>
          <w:lang w:val="en-US" w:eastAsia="zh-CN"/>
        </w:rPr>
        <w:t>5</w:t>
      </w:r>
      <w:r>
        <w:rPr>
          <w:rFonts w:ascii="宋体" w:hAnsi="宋体" w:eastAsia="宋体"/>
          <w:color w:val="000000"/>
          <w:sz w:val="24"/>
          <w:szCs w:val="24"/>
          <w:highlight w:val="none"/>
        </w:rPr>
        <w:t>年</w:t>
      </w:r>
      <w:r>
        <w:rPr>
          <w:rFonts w:hint="eastAsia" w:ascii="宋体" w:hAnsi="宋体" w:eastAsia="宋体"/>
          <w:color w:val="000000"/>
          <w:sz w:val="24"/>
          <w:szCs w:val="24"/>
          <w:highlight w:val="none"/>
          <w:lang w:val="en-US" w:eastAsia="zh-CN"/>
        </w:rPr>
        <w:t>8</w:t>
      </w:r>
      <w:r>
        <w:rPr>
          <w:rFonts w:ascii="宋体" w:hAnsi="宋体" w:eastAsia="宋体"/>
          <w:color w:val="000000"/>
          <w:sz w:val="24"/>
          <w:szCs w:val="24"/>
          <w:highlight w:val="none"/>
        </w:rPr>
        <w:t>月）信息价计取,上述信息价没有的材料价格,采用市场询价确定单价（市场询价不参与下浮），应报发包人审核确认。人工工日单价按《深圳市建设工程价格信息》（202</w:t>
      </w:r>
      <w:r>
        <w:rPr>
          <w:rFonts w:hint="eastAsia" w:ascii="宋体" w:hAnsi="宋体" w:eastAsia="宋体"/>
          <w:color w:val="000000"/>
          <w:sz w:val="24"/>
          <w:szCs w:val="24"/>
          <w:highlight w:val="none"/>
          <w:lang w:val="en-US" w:eastAsia="zh-CN"/>
        </w:rPr>
        <w:t>5</w:t>
      </w:r>
      <w:r>
        <w:rPr>
          <w:rFonts w:ascii="宋体" w:hAnsi="宋体" w:eastAsia="宋体"/>
          <w:color w:val="000000"/>
          <w:sz w:val="24"/>
          <w:szCs w:val="24"/>
          <w:highlight w:val="none"/>
        </w:rPr>
        <w:t>年</w:t>
      </w:r>
      <w:r>
        <w:rPr>
          <w:rFonts w:hint="eastAsia" w:ascii="宋体" w:hAnsi="宋体" w:eastAsia="宋体"/>
          <w:color w:val="000000"/>
          <w:sz w:val="24"/>
          <w:szCs w:val="24"/>
          <w:highlight w:val="none"/>
          <w:lang w:val="en-US" w:eastAsia="zh-CN"/>
        </w:rPr>
        <w:t>8</w:t>
      </w:r>
      <w:r>
        <w:rPr>
          <w:rFonts w:ascii="宋体" w:hAnsi="宋体" w:eastAsia="宋体"/>
          <w:color w:val="000000"/>
          <w:sz w:val="24"/>
          <w:szCs w:val="24"/>
          <w:highlight w:val="none"/>
        </w:rPr>
        <w:t xml:space="preserve">月）人工指数计取； </w:t>
      </w:r>
    </w:p>
    <w:p w14:paraId="7329D9E6">
      <w:pPr>
        <w:numPr>
          <w:ilvl w:val="0"/>
          <w:numId w:val="18"/>
        </w:numPr>
        <w:snapToGrid w:val="0"/>
        <w:spacing w:line="360" w:lineRule="auto"/>
        <w:ind w:left="625" w:firstLine="215"/>
        <w:rPr>
          <w:rFonts w:ascii="宋体" w:hAnsi="宋体" w:eastAsia="宋体"/>
          <w:color w:val="000000"/>
          <w:sz w:val="24"/>
          <w:szCs w:val="24"/>
          <w:highlight w:val="none"/>
        </w:rPr>
      </w:pPr>
      <w:r>
        <w:rPr>
          <w:rFonts w:ascii="宋体" w:hAnsi="宋体" w:eastAsia="宋体"/>
          <w:color w:val="000000"/>
          <w:sz w:val="24"/>
          <w:szCs w:val="24"/>
          <w:highlight w:val="none"/>
        </w:rPr>
        <w:t>各类取费: 取费费率文件</w:t>
      </w:r>
      <w:r>
        <w:rPr>
          <w:rFonts w:hint="eastAsia" w:ascii="宋体" w:hAnsi="宋体" w:eastAsia="宋体"/>
          <w:color w:val="auto"/>
          <w:sz w:val="24"/>
          <w:szCs w:val="24"/>
          <w:highlight w:val="none"/>
          <w:shd w:val="clear" w:color="auto" w:fill="FFFFFF"/>
        </w:rPr>
        <w:t xml:space="preserve"> 取费费率文件《深圳市建设工程计价费率标准（2023）》</w:t>
      </w:r>
      <w:r>
        <w:rPr>
          <w:rFonts w:ascii="宋体" w:hAnsi="宋体" w:eastAsia="宋体"/>
          <w:color w:val="000000"/>
          <w:sz w:val="24"/>
          <w:szCs w:val="24"/>
          <w:highlight w:val="none"/>
        </w:rPr>
        <w:t>、建办标函[2019]193号等。</w:t>
      </w:r>
    </w:p>
    <w:p w14:paraId="43396717">
      <w:pPr>
        <w:numPr>
          <w:ilvl w:val="0"/>
          <w:numId w:val="18"/>
        </w:numPr>
        <w:snapToGrid w:val="0"/>
        <w:spacing w:line="360" w:lineRule="auto"/>
        <w:ind w:left="625" w:firstLine="215"/>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清单中不存在的整改项，按上述</w:t>
      </w:r>
      <w:r>
        <w:rPr>
          <w:rFonts w:hint="eastAsia" w:ascii="宋体" w:hAnsi="宋体" w:eastAsia="宋体"/>
          <w:color w:val="000000"/>
          <w:sz w:val="24"/>
          <w:szCs w:val="24"/>
          <w:highlight w:val="none"/>
          <w:lang w:val="en-US" w:eastAsia="zh-CN"/>
        </w:rPr>
        <w:t>规定</w:t>
      </w:r>
      <w:r>
        <w:rPr>
          <w:rFonts w:hint="eastAsia" w:ascii="宋体" w:hAnsi="宋体" w:eastAsia="宋体"/>
          <w:color w:val="000000"/>
          <w:sz w:val="24"/>
          <w:szCs w:val="24"/>
          <w:highlight w:val="none"/>
        </w:rPr>
        <w:t>确定单价后，另行签订补充协议支付。</w:t>
      </w:r>
    </w:p>
    <w:p w14:paraId="6B9E491F">
      <w:pPr>
        <w:snapToGrid w:val="0"/>
        <w:spacing w:line="360" w:lineRule="auto"/>
        <w:ind w:firstLine="480"/>
        <w:outlineLvl w:val="1"/>
        <w:rPr>
          <w:rFonts w:ascii="宋体" w:hAnsi="宋体" w:eastAsia="宋体"/>
          <w:color w:val="000000"/>
          <w:sz w:val="24"/>
          <w:szCs w:val="24"/>
          <w:highlight w:val="none"/>
        </w:rPr>
      </w:pPr>
      <w:r>
        <w:rPr>
          <w:rFonts w:hint="eastAsia" w:ascii="宋体" w:hAnsi="宋体" w:eastAsia="宋体"/>
          <w:color w:val="000000"/>
          <w:sz w:val="24"/>
          <w:szCs w:val="24"/>
          <w:highlight w:val="none"/>
        </w:rPr>
        <w:t>（四）竣工结算书的编制和提交</w:t>
      </w:r>
    </w:p>
    <w:p w14:paraId="03A37F91">
      <w:pPr>
        <w:numPr>
          <w:ilvl w:val="0"/>
          <w:numId w:val="19"/>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乙方应按照本合同第四条中关于工程费用的约定编制结算书；</w:t>
      </w:r>
    </w:p>
    <w:p w14:paraId="1770621E">
      <w:pPr>
        <w:numPr>
          <w:ilvl w:val="0"/>
          <w:numId w:val="19"/>
        </w:numPr>
        <w:snapToGrid w:val="0"/>
        <w:spacing w:line="360" w:lineRule="auto"/>
        <w:ind w:left="625" w:firstLine="215"/>
        <w:rPr>
          <w:rFonts w:ascii="微软雅黑" w:hAnsi="微软雅黑" w:eastAsia="微软雅黑"/>
          <w:color w:val="333333"/>
          <w:sz w:val="22"/>
          <w:highlight w:val="none"/>
        </w:rPr>
      </w:pPr>
      <w:r>
        <w:rPr>
          <w:rFonts w:hint="eastAsia" w:ascii="宋体" w:hAnsi="宋体" w:eastAsia="宋体"/>
          <w:color w:val="000000"/>
          <w:sz w:val="24"/>
          <w:szCs w:val="24"/>
          <w:highlight w:val="none"/>
        </w:rPr>
        <w:t>乙方应在取得</w:t>
      </w:r>
      <w:r>
        <w:rPr>
          <w:rFonts w:hint="eastAsia" w:ascii="宋体" w:hAnsi="宋体" w:eastAsia="宋体"/>
          <w:color w:val="000000"/>
          <w:sz w:val="24"/>
          <w:szCs w:val="24"/>
          <w:highlight w:val="none"/>
          <w:lang w:val="en-US" w:eastAsia="zh-CN"/>
        </w:rPr>
        <w:t>最后一项单位工程</w:t>
      </w:r>
      <w:r>
        <w:rPr>
          <w:rFonts w:hint="eastAsia" w:ascii="宋体" w:hAnsi="宋体" w:eastAsia="宋体"/>
          <w:color w:val="000000"/>
          <w:sz w:val="24"/>
          <w:szCs w:val="24"/>
          <w:highlight w:val="none"/>
        </w:rPr>
        <w:t>竣工验收合格报告后60日内向甲方提交完整的结算资料，用于对前期已支付的月度结算款项进行汇总核对，不再另行增加费用。资料包括：施工合同、招标文件、投标文件、开工报告、开工令、施工方案、签证变更单、工程量确认单、竣工验收报告、竣工结算书等与竣工结算有关的资料（以上资料一式两份，复印件加盖公章，同时提供对应电子版文件）</w:t>
      </w:r>
    </w:p>
    <w:p w14:paraId="7979903B">
      <w:pPr>
        <w:pStyle w:val="2"/>
        <w:snapToGrid w:val="0"/>
        <w:spacing w:line="600" w:lineRule="auto"/>
        <w:jc w:val="both"/>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第五条 双方义务</w:t>
      </w:r>
    </w:p>
    <w:p w14:paraId="2EDDE77C">
      <w:pPr>
        <w:pStyle w:val="3"/>
        <w:numPr>
          <w:ilvl w:val="0"/>
          <w:numId w:val="20"/>
        </w:numPr>
        <w:snapToGrid w:val="0"/>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甲方义务</w:t>
      </w:r>
    </w:p>
    <w:p w14:paraId="39E0F7AC">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委派现场代表负责对施工进行全面管理，解决施工过程中出现的需要甲方协调的相关问题，并参与现场各种验收和签证工作。如变更现场代表应及时通知乙方。</w:t>
      </w:r>
    </w:p>
    <w:p w14:paraId="66B76C13">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向乙方提供现场用水、用电接驳点（水电费由乙方承担）。</w:t>
      </w:r>
    </w:p>
    <w:p w14:paraId="3B704686">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负责协调乙方与其他各承包单位的关系。</w:t>
      </w:r>
    </w:p>
    <w:p w14:paraId="7AF0F5AB">
      <w:pPr>
        <w:pStyle w:val="3"/>
        <w:snapToGrid w:val="0"/>
        <w:spacing w:line="360" w:lineRule="auto"/>
        <w:ind w:firstLine="480"/>
        <w:rPr>
          <w:rFonts w:hint="eastAsia" w:ascii="微软雅黑" w:hAnsi="微软雅黑" w:eastAsia="微软雅黑"/>
          <w:highlight w:val="none"/>
        </w:rPr>
      </w:pPr>
      <w:r>
        <w:rPr>
          <w:rFonts w:ascii="宋体" w:hAnsi="宋体" w:eastAsia="宋体"/>
          <w:color w:val="000000"/>
          <w:sz w:val="24"/>
          <w:szCs w:val="24"/>
          <w:highlight w:val="none"/>
        </w:rPr>
        <w:t>（</w:t>
      </w:r>
      <w:r>
        <w:rPr>
          <w:rFonts w:hint="eastAsia" w:ascii="宋体" w:hAnsi="宋体" w:eastAsia="宋体"/>
          <w:color w:val="000000"/>
          <w:sz w:val="24"/>
          <w:szCs w:val="24"/>
          <w:highlight w:val="none"/>
        </w:rPr>
        <w:t>二</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乙方</w:t>
      </w:r>
      <w:r>
        <w:rPr>
          <w:rFonts w:ascii="宋体" w:hAnsi="宋体" w:eastAsia="宋体"/>
          <w:color w:val="000000"/>
          <w:sz w:val="24"/>
          <w:szCs w:val="24"/>
          <w:highlight w:val="none"/>
        </w:rPr>
        <w:t>义务</w:t>
      </w:r>
    </w:p>
    <w:p w14:paraId="09E82B82">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委派现场代表负责现场施工全面管理。该现场代表须持有与本项目相适应的资格证书，如变更现场代表应事先经甲方书面同意。</w:t>
      </w:r>
    </w:p>
    <w:p w14:paraId="2CB1D2E1">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乙方应当具备中华人民共和国政府认可的与本合同工程施工相应的资质证书。如因资质证书造成甲方损失的，乙方应当赔偿</w:t>
      </w:r>
      <w:r>
        <w:rPr>
          <w:rFonts w:hint="eastAsia" w:ascii="宋体" w:hAnsi="宋体" w:eastAsia="宋体"/>
          <w:color w:val="000000"/>
          <w:sz w:val="24"/>
          <w:szCs w:val="24"/>
          <w:highlight w:val="none"/>
          <w:lang w:val="en-US" w:eastAsia="zh-CN"/>
        </w:rPr>
        <w:t>给甲方造成的全部</w:t>
      </w:r>
      <w:r>
        <w:rPr>
          <w:rFonts w:hint="eastAsia" w:ascii="宋体" w:hAnsi="宋体" w:eastAsia="宋体"/>
          <w:color w:val="000000"/>
          <w:sz w:val="24"/>
          <w:szCs w:val="24"/>
          <w:highlight w:val="none"/>
        </w:rPr>
        <w:t>损失。</w:t>
      </w:r>
    </w:p>
    <w:p w14:paraId="4F9EB166">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乙方负责本项目的施工图设计，施工图需经甲方审核确认后，方可施工。</w:t>
      </w:r>
    </w:p>
    <w:p w14:paraId="5176BDE3">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乙方须按甲方确认的施工做法及技术要求进行施工，并按时提交施工验收报告，并对其提交成果报告的真实性、有效性、准确性负责。</w:t>
      </w:r>
    </w:p>
    <w:p w14:paraId="1CA4E23E">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达到本合同约定的付款条件并经甲方确认后应向甲方发出付款通知及提供相关资料。若乙方未及时提供前述资料，甲方可相应顺延付款时间。</w:t>
      </w:r>
    </w:p>
    <w:p w14:paraId="7574E471">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按相关安全法规进行安全工作，遵守甲方施工现场管理的有关规定，承担在工作过程中的防火、防盗、防止意外事故发生等安全责任。若出现安全问题，责任由乙方自行承担，并赔偿给甲方造成的全部损失，包括但不限于甲方为此支出的赔偿款、和解金额、律师费用、诉讼费、仲裁费、保全费、公证费等。</w:t>
      </w:r>
    </w:p>
    <w:p w14:paraId="6E831EA2">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乙方如在施工过程中损坏甲方现场的其他工程成品或半成品及存放物品，乙方应赔偿给甲方，甲方有权在结算款中扣除。</w:t>
      </w:r>
    </w:p>
    <w:p w14:paraId="75C64639">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乙方应配合甲方的现场管理，不得以任何理由拒绝本项目范围内甲方的工作安排。乙方应服从</w:t>
      </w:r>
      <w:r>
        <w:rPr>
          <w:rFonts w:hint="eastAsia" w:ascii="宋体" w:hAnsi="宋体" w:eastAsia="宋体"/>
          <w:color w:val="000000"/>
          <w:sz w:val="24"/>
          <w:szCs w:val="24"/>
          <w:highlight w:val="none"/>
          <w:lang w:eastAsia="zh-CN"/>
        </w:rPr>
        <w:t>特力金钻大厦</w:t>
      </w:r>
      <w:r>
        <w:rPr>
          <w:rFonts w:hint="eastAsia" w:ascii="宋体" w:hAnsi="宋体" w:eastAsia="宋体"/>
          <w:color w:val="000000"/>
          <w:sz w:val="24"/>
          <w:szCs w:val="24"/>
          <w:highlight w:val="none"/>
        </w:rPr>
        <w:t>运营统筹安排，不影响</w:t>
      </w:r>
      <w:r>
        <w:rPr>
          <w:rFonts w:hint="eastAsia" w:ascii="宋体" w:hAnsi="宋体" w:eastAsia="宋体"/>
          <w:color w:val="000000"/>
          <w:sz w:val="24"/>
          <w:szCs w:val="24"/>
          <w:highlight w:val="none"/>
          <w:lang w:val="en-US" w:eastAsia="zh-CN"/>
        </w:rPr>
        <w:t>大厦</w:t>
      </w:r>
      <w:r>
        <w:rPr>
          <w:rFonts w:hint="eastAsia" w:ascii="宋体" w:hAnsi="宋体" w:eastAsia="宋体"/>
          <w:color w:val="000000"/>
          <w:sz w:val="24"/>
          <w:szCs w:val="24"/>
          <w:highlight w:val="none"/>
        </w:rPr>
        <w:t>正常运营。</w:t>
      </w:r>
    </w:p>
    <w:p w14:paraId="18C723F1">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乙方须负责本项目相关的报建手续，所发生的费用综合包含在合同总价内，结算不另外支付。</w:t>
      </w:r>
    </w:p>
    <w:p w14:paraId="19DCD58A">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按政策规定购买“建筑安全一切险”（含第三者责任险），乙方应向甲方提交购买保险的发票复印件，费用实报实销，与工程结算款一并支付。乙方必须承担在本工程施工期间发生的或本工程引致的人身伤亡及/或财产损害的包括但不限于费用、责任、损失、赔偿等一切法律责任，并须保障甲方免于承担该等责任。因乙方原因导致因侵犯第三方的合法权益而引起的任何针对甲方的索赔，乙方应负责应诉、并为甲方抗辩，或在甲方的要求下合作抗辩，保障甲方的利益不受损害，为甲方消除名誉方面的不良影响，并赔偿甲方因此而支出的费用，包括但不限于甲方为此支出的赔偿款、和解金额、律师费用、诉讼费、仲裁费、保全费、公证费等。</w:t>
      </w:r>
    </w:p>
    <w:p w14:paraId="1C146249">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乙方应当在项目开工前，向本工程所在地的社会保险经办机构办理建设项目工伤保险参保缴费手续。工人工伤保险，所发生的费用综合包含在合同价总价内，结算不另外支付。</w:t>
      </w:r>
    </w:p>
    <w:p w14:paraId="3320A4E0">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因本工程处于</w:t>
      </w:r>
      <w:r>
        <w:rPr>
          <w:rFonts w:hint="eastAsia" w:ascii="宋体" w:hAnsi="宋体" w:eastAsia="宋体"/>
          <w:color w:val="auto"/>
          <w:sz w:val="24"/>
          <w:szCs w:val="24"/>
          <w:highlight w:val="none"/>
          <w:shd w:val="clear" w:color="auto" w:fill="FFFFFF"/>
          <w:lang w:eastAsia="zh-CN"/>
        </w:rPr>
        <w:t>特力金钻大厦</w:t>
      </w:r>
      <w:r>
        <w:rPr>
          <w:rFonts w:hint="eastAsia" w:ascii="宋体" w:hAnsi="宋体" w:eastAsia="宋体"/>
          <w:color w:val="auto"/>
          <w:sz w:val="24"/>
          <w:szCs w:val="24"/>
          <w:highlight w:val="none"/>
          <w:shd w:val="clear" w:color="auto" w:fill="FFFFFF"/>
        </w:rPr>
        <w:t>成熟</w:t>
      </w:r>
      <w:r>
        <w:rPr>
          <w:rFonts w:hint="eastAsia" w:ascii="宋体" w:hAnsi="宋体" w:eastAsia="宋体"/>
          <w:color w:val="auto"/>
          <w:sz w:val="24"/>
          <w:szCs w:val="24"/>
          <w:highlight w:val="none"/>
          <w:shd w:val="clear" w:color="auto" w:fill="FFFFFF"/>
          <w:lang w:val="en-US" w:eastAsia="zh-CN"/>
        </w:rPr>
        <w:t>商业综合体</w:t>
      </w:r>
      <w:r>
        <w:rPr>
          <w:rFonts w:hint="eastAsia" w:ascii="宋体" w:hAnsi="宋体" w:eastAsia="宋体"/>
          <w:color w:val="auto"/>
          <w:sz w:val="24"/>
          <w:szCs w:val="24"/>
          <w:highlight w:val="none"/>
          <w:shd w:val="clear" w:color="auto" w:fill="FFFFFF"/>
        </w:rPr>
        <w:t>大楼</w:t>
      </w:r>
      <w:r>
        <w:rPr>
          <w:rFonts w:hint="eastAsia" w:ascii="宋体" w:hAnsi="宋体" w:eastAsia="宋体"/>
          <w:color w:val="auto"/>
          <w:sz w:val="24"/>
          <w:szCs w:val="24"/>
          <w:highlight w:val="none"/>
          <w:shd w:val="clear" w:color="auto" w:fill="FFFFFF"/>
          <w:lang w:val="en-US" w:eastAsia="zh-CN"/>
        </w:rPr>
        <w:t>区域</w:t>
      </w:r>
      <w:r>
        <w:rPr>
          <w:rFonts w:hint="eastAsia" w:ascii="宋体" w:hAnsi="宋体" w:eastAsia="宋体"/>
          <w:color w:val="000000"/>
          <w:sz w:val="24"/>
          <w:szCs w:val="24"/>
          <w:highlight w:val="none"/>
        </w:rPr>
        <w:t>内，场地受限，乙方需自行解决材料堆放场地，提供物品存放场所，并无条件配合材料转运。</w:t>
      </w:r>
    </w:p>
    <w:p w14:paraId="543340B3">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本工程已聘请物业，乙方须配合物业管理，自行承担物业押金、物业管理费等物业管理处收取的费用。</w:t>
      </w:r>
    </w:p>
    <w:p w14:paraId="72C8C275">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乙方须接受甲方安全检查，若乙方施工期间安全管理不到位，出现安全隐患，甲方委派的现场代表或甲方安全管理部门（含甲方上级公司安全管理部门）有权对乙方进行2000-10000元/次的处罚。</w:t>
      </w:r>
    </w:p>
    <w:p w14:paraId="6982C3A3">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第六条  违约责任</w:t>
      </w:r>
    </w:p>
    <w:p w14:paraId="18D75E3E">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甲方未能按本合同约定提供施工场地及工作面，工期相应顺延，甲方无需承担任何赔偿责任。</w:t>
      </w:r>
    </w:p>
    <w:p w14:paraId="39A7659A">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乙方未能按合同约定时间通过竣工验收，乙方应承担违约责任。每逾期一日，按延期违约</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000元/日历天，向甲方支付违约金。逾期超过5天的，甲方有权解除合同并不需再继续支付任何款项，并有权要求乙方按照本合同签约合同价30%的标准向甲方支付违约金(因甲方原因工期延误且经甲方批准的除外)。</w:t>
      </w:r>
    </w:p>
    <w:p w14:paraId="1889FB3D">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如因乙方提交的成果报告造成甲方工程质量问题的，视为乙方违约。甲方有权向乙方追究由此而产生的</w:t>
      </w:r>
      <w:r>
        <w:rPr>
          <w:rFonts w:hint="eastAsia" w:ascii="宋体" w:hAnsi="宋体" w:eastAsia="宋体"/>
          <w:color w:val="000000"/>
          <w:sz w:val="24"/>
          <w:szCs w:val="24"/>
          <w:highlight w:val="none"/>
          <w:lang w:val="en-US" w:eastAsia="zh-CN"/>
        </w:rPr>
        <w:t>一切</w:t>
      </w:r>
      <w:r>
        <w:rPr>
          <w:rFonts w:hint="eastAsia" w:ascii="宋体" w:hAnsi="宋体" w:eastAsia="宋体"/>
          <w:color w:val="000000"/>
          <w:sz w:val="24"/>
          <w:szCs w:val="24"/>
          <w:highlight w:val="none"/>
        </w:rPr>
        <w:t>经济、法律责任</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并有权要求乙方按照本合同签约合同价30%的标准向甲方支付违约金</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违约金不足以弥补甲方损失的，甲方可继续向乙方追偿。</w:t>
      </w:r>
    </w:p>
    <w:p w14:paraId="09CB39CE">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乙方应向甲方支付的违约金，甲方有权直接在应付而未付款中扣除，违约金不足以弥补甲方损失的，甲方可继续向乙方追偿。</w:t>
      </w:r>
    </w:p>
    <w:p w14:paraId="58AC1E3A">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除本合同和法律法规另有规定外，任何一方均无权提前解除合同，否则视为违约，守约方有权选择解除合同或要求违约方继续履行合同。如守约方选择解除合同，则违约方应向对方支付本合同签约合同价30%的违约金，如违约金不足以偿付对方损失，违约方还应赔偿因其违约给对方造成的损失。</w:t>
      </w:r>
    </w:p>
    <w:p w14:paraId="0FA6D005">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保证所采用的装修材料满足环保、防火、无辐射、对人体无害等基本要求，后期甲方有权进行抽检，产品不合格的，乙方需承担检测相关费用并完成整改；再次检测仍不合格的，乙方有义务整改直至合格，同时，甲方有权解除合同，乙方应返还甲方已支付的全部费用并按照本合同签约合同价30%的标准向甲方支付违约金，如违约金不足以偿付甲方损失，乙方还应赔偿给甲方造成的全部损失。</w:t>
      </w:r>
    </w:p>
    <w:p w14:paraId="2D27DD5A">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如任何一方违约，守约方为维护权益向违约方追偿所发生的一切费用（包括但不限于律师费、诉讼费、保全费、担保费、交通费、差旅费、鉴定费等）均由违约方承担。</w:t>
      </w:r>
    </w:p>
    <w:p w14:paraId="45F57A7D">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律师费收费依据起诉时广东省或深圳市关于律师服务收费的最新规定标准，按争议标的额的比例计算。</w:t>
      </w:r>
    </w:p>
    <w:p w14:paraId="138E7E4A">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第七条  措施项目清单（包括但不限于下列项目）的说明</w:t>
      </w:r>
    </w:p>
    <w:p w14:paraId="53ECBC59">
      <w:pPr>
        <w:snapToGrid w:val="0"/>
        <w:spacing w:after="200" w:line="300" w:lineRule="auto"/>
        <w:ind w:firstLine="482" w:firstLineChars="200"/>
        <w:jc w:val="left"/>
        <w:rPr>
          <w:rFonts w:hint="eastAsia" w:ascii="微软雅黑" w:hAnsi="微软雅黑" w:eastAsia="微软雅黑"/>
          <w:color w:val="FF0000"/>
          <w:sz w:val="22"/>
          <w:highlight w:val="none"/>
        </w:rPr>
      </w:pPr>
      <w:r>
        <w:rPr>
          <w:rFonts w:ascii="宋体" w:hAnsi="宋体" w:eastAsia="宋体"/>
          <w:b/>
          <w:bCs/>
          <w:color w:val="000000"/>
          <w:sz w:val="24"/>
          <w:szCs w:val="24"/>
          <w:highlight w:val="none"/>
        </w:rPr>
        <w:t>本项目措施费用</w:t>
      </w:r>
      <w:r>
        <w:rPr>
          <w:rFonts w:hint="eastAsia" w:ascii="宋体" w:hAnsi="宋体" w:eastAsia="宋体"/>
          <w:b/>
          <w:bCs/>
          <w:color w:val="000000"/>
          <w:sz w:val="24"/>
          <w:szCs w:val="24"/>
          <w:highlight w:val="none"/>
        </w:rPr>
        <w:t>按清单项</w:t>
      </w:r>
      <w:r>
        <w:rPr>
          <w:rFonts w:ascii="宋体" w:hAnsi="宋体" w:eastAsia="宋体"/>
          <w:b/>
          <w:bCs/>
          <w:color w:val="000000"/>
          <w:sz w:val="24"/>
          <w:szCs w:val="24"/>
          <w:highlight w:val="none"/>
        </w:rPr>
        <w:t>包干</w:t>
      </w:r>
      <w:r>
        <w:rPr>
          <w:rFonts w:hint="eastAsia" w:ascii="宋体" w:hAnsi="宋体" w:eastAsia="宋体"/>
          <w:b/>
          <w:bCs/>
          <w:color w:val="000000"/>
          <w:sz w:val="24"/>
          <w:szCs w:val="24"/>
          <w:highlight w:val="none"/>
        </w:rPr>
        <w:t>，费用</w:t>
      </w:r>
      <w:r>
        <w:rPr>
          <w:rFonts w:hint="eastAsia" w:ascii="宋体" w:hAnsi="宋体" w:eastAsia="宋体"/>
          <w:b/>
          <w:bCs/>
          <w:color w:val="auto"/>
          <w:sz w:val="24"/>
          <w:szCs w:val="24"/>
          <w:highlight w:val="none"/>
        </w:rPr>
        <w:t>已包含在清单单价中，若有扣除项，则对应措施费同样扣除</w:t>
      </w:r>
      <w:r>
        <w:rPr>
          <w:rFonts w:ascii="宋体" w:hAnsi="宋体" w:eastAsia="宋体"/>
          <w:b/>
          <w:bCs/>
          <w:color w:val="auto"/>
          <w:sz w:val="24"/>
          <w:szCs w:val="24"/>
          <w:highlight w:val="none"/>
        </w:rPr>
        <w:t>。</w:t>
      </w:r>
    </w:p>
    <w:p w14:paraId="3EF79B88">
      <w:pPr>
        <w:snapToGrid w:val="0"/>
        <w:spacing w:after="200" w:line="300" w:lineRule="auto"/>
        <w:ind w:firstLine="482" w:firstLineChars="200"/>
        <w:jc w:val="left"/>
        <w:rPr>
          <w:rFonts w:hint="eastAsia" w:ascii="微软雅黑" w:hAnsi="微软雅黑" w:eastAsia="微软雅黑"/>
          <w:color w:val="333333"/>
          <w:sz w:val="22"/>
          <w:highlight w:val="none"/>
        </w:rPr>
      </w:pPr>
      <w:r>
        <w:rPr>
          <w:rFonts w:hint="eastAsia" w:ascii="宋体" w:hAnsi="宋体" w:eastAsia="宋体"/>
          <w:b/>
          <w:bCs/>
          <w:color w:val="000000"/>
          <w:sz w:val="24"/>
          <w:szCs w:val="24"/>
          <w:highlight w:val="none"/>
        </w:rPr>
        <w:t>（一）</w:t>
      </w:r>
      <w:r>
        <w:rPr>
          <w:rFonts w:ascii="宋体" w:hAnsi="宋体" w:eastAsia="宋体"/>
          <w:b/>
          <w:bCs/>
          <w:color w:val="000000"/>
          <w:sz w:val="24"/>
          <w:szCs w:val="24"/>
          <w:highlight w:val="none"/>
        </w:rPr>
        <w:t>安全文明施工措施费</w:t>
      </w:r>
    </w:p>
    <w:p w14:paraId="2CA5C18C">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安全文明施工措施费按照《深圳市建设工程计价规程（2017）》，内容包括施工企业临时设施、所有涉及工程安全和文明施工的费用等。</w:t>
      </w:r>
    </w:p>
    <w:p w14:paraId="6CFE542A">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临时设施费：是指施工企业为进行建筑安装工程施工所必需的生活和生产用的临时建筑物、构筑物和其它临时设施的搭设、维修、拆除费用或摊销费用，包括临时宿舍、文化福利及公用事业房屋与构筑物，仓库、办公室、加工厂以及规定范围内道路、水、电、管线等临时设施和小型临时设施。</w:t>
      </w:r>
    </w:p>
    <w:p w14:paraId="752ECE78">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（2）安全施工费：是依照国家有关安全生产法律法规，为保证工程建设项目所涉及人员安全而采取的必要的安全防护措施所需的费用。</w:t>
      </w:r>
    </w:p>
    <w:p w14:paraId="33E8874A">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（3）文明施工费：是依照我市有关文明施工法律法规，为满足建筑施工现场文明施工及环境保护措施所需的费用。</w:t>
      </w:r>
    </w:p>
    <w:p w14:paraId="6B531D73">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（4）环境保护费：是指按照建设行政主管部门和环保部门的有关规定要求采取的施工场地周边的环境保护措施所需的各项费用。</w:t>
      </w:r>
    </w:p>
    <w:p w14:paraId="0B34CD09">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安全文明施工措施费用的内容遵照《深圳市建设工程计价规程（2017）》及相关管理办法的规定。</w:t>
      </w:r>
    </w:p>
    <w:p w14:paraId="4B7F416B">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若乙方的安全文明施工未能满足行业主管部门的相关规定被投诉或被行政主管部门通报的，对乙方进行2000元/次的处罚。</w:t>
      </w:r>
    </w:p>
    <w:p w14:paraId="55852574">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安全文明施工费为包干费用，除双方另行协商且签订补充协议外，结算时不作调整。</w:t>
      </w:r>
    </w:p>
    <w:p w14:paraId="0169D913">
      <w:pPr>
        <w:snapToGrid w:val="0"/>
        <w:spacing w:after="200" w:line="300" w:lineRule="auto"/>
        <w:ind w:firstLine="723" w:firstLineChars="300"/>
        <w:jc w:val="left"/>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（二）临时用水、用电</w:t>
      </w:r>
    </w:p>
    <w:p w14:paraId="33670AA8">
      <w:pPr>
        <w:snapToGrid w:val="0"/>
        <w:spacing w:line="360" w:lineRule="auto"/>
        <w:ind w:left="420" w:leftChars="200" w:firstLine="480" w:firstLineChars="20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工程临时用水、用电由乙方根据工程实际情况自行解决，并承担一切相关费用，包括初装手续的办理、接口、安装、恢复以及使用期间的水、电费缴纳等，施工期间，乙方还应做好临时管线维护工作，保证施工及生活用水、用电及时供给。以上所有费用以总额形式计入措施项目清单“临时用水、用电”中包干使用。</w:t>
      </w:r>
    </w:p>
    <w:p w14:paraId="327BACBF">
      <w:pPr>
        <w:snapToGrid w:val="0"/>
        <w:spacing w:line="360" w:lineRule="auto"/>
        <w:ind w:left="840"/>
        <w:jc w:val="left"/>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（三）其他措施项目</w:t>
      </w:r>
    </w:p>
    <w:p w14:paraId="1AEEAD2D">
      <w:pPr>
        <w:numPr>
          <w:ilvl w:val="0"/>
          <w:numId w:val="24"/>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措施项目包含但不限于以上所列项目，还应包括：夜间施工费、赶工措施费、冬雨季施工费、已完工程及设备包含费、地上地下设施及建筑物的临时保护费、混凝土钢筋混凝土模板及支架费、二次搬运费、脚手架费、吊篮、垂直运输机械费、防尘降噪费、各专业工程措施项目费及其他等。</w:t>
      </w:r>
    </w:p>
    <w:p w14:paraId="31695028">
      <w:pPr>
        <w:numPr>
          <w:ilvl w:val="0"/>
          <w:numId w:val="24"/>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工程量清单中所列措施项目是招标人根据一般情况估计的项目，乙方在投标报价时应根据《建设工程工程量清单计价标准（GB/T50500-2024）》、招标文件及工程施工的实际需要等将实际可能增加的措施项目费用考虑在措施项目清单“其它”项目中或其他项的单价或合价中。</w:t>
      </w:r>
    </w:p>
    <w:p w14:paraId="6C9183D0">
      <w:pPr>
        <w:numPr>
          <w:ilvl w:val="0"/>
          <w:numId w:val="12"/>
        </w:numPr>
        <w:snapToGrid w:val="0"/>
        <w:spacing w:line="360" w:lineRule="auto"/>
        <w:jc w:val="left"/>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措施实施</w:t>
      </w:r>
    </w:p>
    <w:p w14:paraId="06F1FAA3">
      <w:pPr>
        <w:snapToGrid w:val="0"/>
        <w:spacing w:line="360" w:lineRule="auto"/>
        <w:ind w:left="42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但以上所有措施项目均应由乙方作出详细方案，并报监理审核认可后，方可实施。</w:t>
      </w:r>
    </w:p>
    <w:p w14:paraId="5548A9D8">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第八条  争议的解决</w:t>
      </w:r>
    </w:p>
    <w:p w14:paraId="224E2937">
      <w:pPr>
        <w:numPr>
          <w:ilvl w:val="0"/>
          <w:numId w:val="25"/>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本合同在履行期间，双方发生争议时，在不影响工程进度的前提下，双方可采取协商解决。</w:t>
      </w:r>
    </w:p>
    <w:p w14:paraId="128199CA">
      <w:pPr>
        <w:numPr>
          <w:ilvl w:val="0"/>
          <w:numId w:val="25"/>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协商不成可进行调解。</w:t>
      </w:r>
    </w:p>
    <w:p w14:paraId="31C37210">
      <w:pPr>
        <w:numPr>
          <w:ilvl w:val="0"/>
          <w:numId w:val="25"/>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当事人不愿意通过协商、调解解决或者协商调解不成时，双方可选择下列任何一种方式解决；</w:t>
      </w:r>
    </w:p>
    <w:p w14:paraId="17F9191E">
      <w:pPr>
        <w:snapToGrid w:val="0"/>
        <w:spacing w:line="360" w:lineRule="auto"/>
        <w:ind w:firstLine="896" w:firstLineChars="350"/>
        <w:rPr>
          <w:rFonts w:hint="eastAsia" w:ascii="微软雅黑" w:hAnsi="微软雅黑" w:eastAsia="微软雅黑"/>
          <w:color w:val="333333"/>
          <w:sz w:val="22"/>
          <w:highlight w:val="none"/>
        </w:rPr>
      </w:pPr>
      <w:r>
        <w:rPr>
          <w:rFonts w:ascii="宋体" w:hAnsi="宋体" w:eastAsia="宋体"/>
          <w:color w:val="auto"/>
          <w:spacing w:val="8"/>
          <w:sz w:val="24"/>
          <w:szCs w:val="24"/>
          <w:highlight w:val="none"/>
        </w:rPr>
        <w:sym w:font="Wingdings 2" w:char="00A3"/>
      </w:r>
      <w:r>
        <w:rPr>
          <w:rFonts w:ascii="宋体" w:hAnsi="宋体" w:eastAsia="宋体"/>
          <w:color w:val="000000"/>
          <w:spacing w:val="8"/>
          <w:sz w:val="24"/>
          <w:szCs w:val="24"/>
          <w:highlight w:val="none"/>
        </w:rPr>
        <w:t>向深圳市仲裁委员会申请仲裁。</w:t>
      </w:r>
    </w:p>
    <w:p w14:paraId="71D53386">
      <w:pPr>
        <w:snapToGrid w:val="0"/>
        <w:spacing w:line="360" w:lineRule="auto"/>
        <w:ind w:firstLine="896" w:firstLineChars="350"/>
        <w:rPr>
          <w:rFonts w:hint="eastAsia" w:ascii="微软雅黑" w:hAnsi="微软雅黑" w:eastAsia="微软雅黑"/>
          <w:color w:val="333333"/>
          <w:sz w:val="22"/>
          <w:highlight w:val="none"/>
        </w:rPr>
      </w:pPr>
      <w:r>
        <w:rPr>
          <w:rFonts w:ascii="宋体" w:hAnsi="宋体" w:eastAsia="宋体"/>
          <w:color w:val="auto"/>
          <w:spacing w:val="8"/>
          <w:sz w:val="24"/>
          <w:szCs w:val="24"/>
          <w:highlight w:val="none"/>
        </w:rPr>
        <w:sym w:font="Wingdings 2" w:char="0052"/>
      </w:r>
      <w:r>
        <w:rPr>
          <w:rFonts w:ascii="宋体" w:hAnsi="宋体" w:eastAsia="宋体"/>
          <w:color w:val="000000"/>
          <w:spacing w:val="8"/>
          <w:sz w:val="24"/>
          <w:szCs w:val="24"/>
          <w:highlight w:val="none"/>
        </w:rPr>
        <w:t>向工程所在地</w:t>
      </w:r>
      <w:r>
        <w:rPr>
          <w:rFonts w:hint="eastAsia" w:ascii="宋体" w:hAnsi="宋体" w:eastAsia="宋体"/>
          <w:color w:val="000000"/>
          <w:spacing w:val="8"/>
          <w:sz w:val="24"/>
          <w:szCs w:val="24"/>
          <w:highlight w:val="none"/>
        </w:rPr>
        <w:t>有管辖权的</w:t>
      </w:r>
      <w:r>
        <w:rPr>
          <w:rFonts w:ascii="宋体" w:hAnsi="宋体" w:eastAsia="宋体"/>
          <w:color w:val="000000"/>
          <w:spacing w:val="8"/>
          <w:sz w:val="24"/>
          <w:szCs w:val="24"/>
          <w:highlight w:val="none"/>
        </w:rPr>
        <w:t>人民法院起诉</w:t>
      </w:r>
      <w:r>
        <w:rPr>
          <w:rFonts w:hint="eastAsia" w:ascii="宋体" w:hAnsi="宋体" w:eastAsia="宋体"/>
          <w:color w:val="000000"/>
          <w:spacing w:val="8"/>
          <w:sz w:val="24"/>
          <w:szCs w:val="24"/>
          <w:highlight w:val="none"/>
        </w:rPr>
        <w:t>。</w:t>
      </w:r>
    </w:p>
    <w:p w14:paraId="46A92ECD">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第九条 合同生效与终止</w:t>
      </w:r>
    </w:p>
    <w:p w14:paraId="698867B3">
      <w:pPr>
        <w:numPr>
          <w:ilvl w:val="0"/>
          <w:numId w:val="26"/>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甲乙双方约定本合同自双方法定代表人或授权代表签名并盖公章或合同专用章后生效。</w:t>
      </w:r>
    </w:p>
    <w:p w14:paraId="5AE30FD9">
      <w:pPr>
        <w:numPr>
          <w:ilvl w:val="0"/>
          <w:numId w:val="26"/>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甲乙双方履行完本合同全部义务，工程竣工结算价款支付完毕，本合同即告终止（但本合同争议解决条款除外）。</w:t>
      </w:r>
    </w:p>
    <w:p w14:paraId="6985AD26">
      <w:pPr>
        <w:numPr>
          <w:ilvl w:val="0"/>
          <w:numId w:val="26"/>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若实际实施维修工程的总金额达合同暂定价（48.2万元）或已接近48.2万元，则甲方以书面形式通知乙方合同提前结束，乙方对此不持异议，并应配合完成结算手续。</w:t>
      </w:r>
    </w:p>
    <w:p w14:paraId="09DE880E">
      <w:pPr>
        <w:pStyle w:val="2"/>
        <w:snapToGrid w:val="0"/>
        <w:spacing w:line="600" w:lineRule="auto"/>
        <w:jc w:val="both"/>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第十条 合同的解除</w:t>
      </w:r>
    </w:p>
    <w:p w14:paraId="7E2452B4">
      <w:pPr>
        <w:snapToGrid w:val="0"/>
        <w:spacing w:line="360" w:lineRule="auto"/>
        <w:ind w:firstLine="240" w:firstLineChars="100"/>
        <w:jc w:val="left"/>
        <w:rPr>
          <w:rFonts w:ascii="微软雅黑" w:hAnsi="微软雅黑" w:eastAsia="微软雅黑"/>
          <w:color w:val="333333"/>
          <w:sz w:val="22"/>
          <w:highlight w:val="none"/>
        </w:rPr>
      </w:pPr>
      <w:r>
        <w:rPr>
          <w:rFonts w:ascii="宋体" w:hAnsi="宋体" w:eastAsia="宋体"/>
          <w:color w:val="000000"/>
          <w:sz w:val="24"/>
          <w:szCs w:val="24"/>
          <w:highlight w:val="none"/>
        </w:rPr>
        <w:t>有下列情形之一的，可以解除合同：</w:t>
      </w:r>
    </w:p>
    <w:p w14:paraId="24BEE6E5">
      <w:pPr>
        <w:numPr>
          <w:ilvl w:val="0"/>
          <w:numId w:val="27"/>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因不可抗力导致合同无法履行；</w:t>
      </w:r>
    </w:p>
    <w:p w14:paraId="32180BE4">
      <w:pPr>
        <w:numPr>
          <w:ilvl w:val="0"/>
          <w:numId w:val="27"/>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甲乙双方协商一致；</w:t>
      </w:r>
    </w:p>
    <w:p w14:paraId="502405E7">
      <w:pPr>
        <w:numPr>
          <w:ilvl w:val="0"/>
          <w:numId w:val="27"/>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因一方违约致使合同无法履行；</w:t>
      </w:r>
    </w:p>
    <w:p w14:paraId="6628FFE3">
      <w:pPr>
        <w:pStyle w:val="2"/>
        <w:snapToGrid w:val="0"/>
        <w:spacing w:line="600" w:lineRule="auto"/>
        <w:jc w:val="both"/>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第十一条 附则</w:t>
      </w:r>
    </w:p>
    <w:p w14:paraId="61F42F6D">
      <w:pPr>
        <w:numPr>
          <w:ilvl w:val="0"/>
          <w:numId w:val="28"/>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本合同正本壹式陆份，</w:t>
      </w:r>
      <w:r>
        <w:rPr>
          <w:rFonts w:hint="eastAsia" w:ascii="宋体" w:hAnsi="宋体" w:eastAsia="宋体"/>
          <w:b/>
          <w:bCs/>
          <w:color w:val="000000"/>
          <w:sz w:val="24"/>
          <w:szCs w:val="24"/>
          <w:highlight w:val="none"/>
        </w:rPr>
        <w:t>甲方肆份，乙方贰份</w:t>
      </w:r>
      <w:r>
        <w:rPr>
          <w:rFonts w:hint="eastAsia" w:ascii="宋体" w:hAnsi="宋体" w:eastAsia="宋体"/>
          <w:color w:val="000000"/>
          <w:sz w:val="24"/>
          <w:szCs w:val="24"/>
          <w:highlight w:val="none"/>
        </w:rPr>
        <w:t>。</w:t>
      </w:r>
    </w:p>
    <w:p w14:paraId="44894C95">
      <w:pPr>
        <w:numPr>
          <w:ilvl w:val="0"/>
          <w:numId w:val="28"/>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本合同签署处当事人联系方式和联系信息适用于双方往来联系、书面文件送达及争议解决时法律文书送达。因签署处联系方式和联系信息错误或拒收等原因而无法直接送达的自交邮后第7日视为送达。</w:t>
      </w:r>
    </w:p>
    <w:p w14:paraId="489D87A4">
      <w:pPr>
        <w:numPr>
          <w:ilvl w:val="0"/>
          <w:numId w:val="28"/>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附件：</w:t>
      </w:r>
      <w:r>
        <w:rPr>
          <w:rFonts w:hint="eastAsia" w:ascii="宋体" w:hAnsi="宋体" w:eastAsia="宋体"/>
          <w:color w:val="000000"/>
          <w:sz w:val="24"/>
          <w:szCs w:val="24"/>
          <w:highlight w:val="none"/>
          <w:lang w:val="en-US" w:eastAsia="zh-CN"/>
        </w:rPr>
        <w:t>一、</w:t>
      </w:r>
      <w:r>
        <w:rPr>
          <w:rFonts w:hint="eastAsia" w:ascii="宋体" w:hAnsi="宋体" w:eastAsia="宋体"/>
          <w:color w:val="000000"/>
          <w:sz w:val="24"/>
          <w:szCs w:val="24"/>
          <w:highlight w:val="none"/>
        </w:rPr>
        <w:t>工程质量保修书</w:t>
      </w:r>
    </w:p>
    <w:p w14:paraId="163D125B">
      <w:pPr>
        <w:numPr>
          <w:ilvl w:val="0"/>
          <w:numId w:val="0"/>
        </w:numPr>
        <w:snapToGrid w:val="0"/>
        <w:spacing w:line="360" w:lineRule="auto"/>
        <w:ind w:left="840" w:leftChars="0"/>
        <w:jc w:val="left"/>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 xml:space="preserve">          二、已有维修清单</w:t>
      </w:r>
    </w:p>
    <w:p w14:paraId="52F5958E">
      <w:pPr>
        <w:rPr>
          <w:rFonts w:ascii="宋体" w:hAnsi="宋体" w:eastAsia="宋体"/>
          <w:color w:val="000000"/>
          <w:sz w:val="24"/>
          <w:szCs w:val="24"/>
          <w:highlight w:val="none"/>
        </w:rPr>
      </w:pPr>
      <w:r>
        <w:rPr>
          <w:rFonts w:hint="eastAsia" w:ascii="宋体" w:hAnsi="宋体" w:eastAsia="宋体"/>
          <w:color w:val="000000"/>
          <w:sz w:val="24"/>
          <w:szCs w:val="24"/>
          <w:highlight w:val="none"/>
        </w:rPr>
        <w:br w:type="page"/>
      </w:r>
    </w:p>
    <w:p w14:paraId="2C02BBED">
      <w:pPr>
        <w:snapToGrid w:val="0"/>
        <w:spacing w:line="360" w:lineRule="auto"/>
        <w:jc w:val="left"/>
        <w:rPr>
          <w:rFonts w:hint="eastAsia" w:ascii="宋体" w:hAnsi="宋体" w:eastAsia="宋体"/>
          <w:sz w:val="24"/>
          <w:szCs w:val="24"/>
          <w:highlight w:val="none"/>
        </w:rPr>
      </w:pPr>
      <w:r>
        <w:rPr>
          <w:rFonts w:hint="eastAsia" w:ascii="宋体" w:hAnsi="宋体" w:eastAsia="宋体"/>
          <w:sz w:val="24"/>
          <w:szCs w:val="24"/>
          <w:highlight w:val="none"/>
        </w:rPr>
        <w:t>（本页签章页，只做签章使用）</w:t>
      </w:r>
    </w:p>
    <w:p w14:paraId="793B3530">
      <w:pPr>
        <w:numPr>
          <w:ilvl w:val="0"/>
          <w:numId w:val="0"/>
        </w:numPr>
        <w:snapToGrid w:val="0"/>
        <w:spacing w:line="360" w:lineRule="auto"/>
        <w:ind w:left="840" w:leftChars="0"/>
        <w:jc w:val="left"/>
        <w:rPr>
          <w:rFonts w:ascii="宋体" w:hAnsi="宋体" w:eastAsia="宋体"/>
          <w:color w:val="000000"/>
          <w:sz w:val="24"/>
          <w:szCs w:val="24"/>
          <w:highlight w:val="none"/>
        </w:rPr>
      </w:pPr>
    </w:p>
    <w:tbl>
      <w:tblPr>
        <w:tblStyle w:val="18"/>
        <w:tblW w:w="951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755"/>
        <w:gridCol w:w="4755"/>
      </w:tblGrid>
      <w:tr w14:paraId="7950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4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7DB0F">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建设单位：</w:t>
            </w:r>
            <w:r>
              <w:rPr>
                <w:rFonts w:ascii="宋体" w:hAnsi="宋体" w:eastAsia="宋体"/>
                <w:color w:val="000000"/>
                <w:sz w:val="24"/>
                <w:szCs w:val="24"/>
                <w:highlight w:val="none"/>
              </w:rPr>
              <w:t>（公章）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3D97C">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施工单位：</w:t>
            </w:r>
            <w:r>
              <w:rPr>
                <w:rFonts w:ascii="宋体" w:hAnsi="宋体" w:eastAsia="宋体"/>
                <w:color w:val="000000"/>
                <w:sz w:val="24"/>
                <w:szCs w:val="24"/>
                <w:highlight w:val="none"/>
              </w:rPr>
              <w:t>（公章）</w:t>
            </w:r>
          </w:p>
        </w:tc>
      </w:tr>
      <w:tr w14:paraId="4971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42"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A7CB1">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法定代表人或其委托代理人：</w:t>
            </w:r>
          </w:p>
          <w:p w14:paraId="05CD8603">
            <w:pPr>
              <w:snapToGrid w:val="0"/>
              <w:spacing w:line="360" w:lineRule="auto"/>
              <w:jc w:val="left"/>
              <w:rPr>
                <w:rFonts w:ascii="微软雅黑" w:hAnsi="微软雅黑" w:eastAsia="微软雅黑"/>
                <w:color w:val="333333"/>
                <w:szCs w:val="21"/>
                <w:highlight w:val="none"/>
              </w:rPr>
            </w:pPr>
            <w:r>
              <w:rPr>
                <w:rFonts w:ascii="宋体" w:hAnsi="宋体" w:eastAsia="宋体"/>
                <w:color w:val="000000"/>
                <w:sz w:val="24"/>
                <w:szCs w:val="24"/>
                <w:highlight w:val="none"/>
              </w:rPr>
              <w:t>（签章）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43AD3">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法定代表人或其委托代理人：</w:t>
            </w:r>
          </w:p>
          <w:p w14:paraId="785CC127">
            <w:pPr>
              <w:snapToGrid w:val="0"/>
              <w:spacing w:line="360" w:lineRule="auto"/>
              <w:jc w:val="left"/>
              <w:rPr>
                <w:rFonts w:ascii="微软雅黑" w:hAnsi="微软雅黑" w:eastAsia="微软雅黑"/>
                <w:color w:val="333333"/>
                <w:szCs w:val="21"/>
                <w:highlight w:val="none"/>
              </w:rPr>
            </w:pPr>
            <w:r>
              <w:rPr>
                <w:rFonts w:ascii="宋体" w:hAnsi="宋体" w:eastAsia="宋体"/>
                <w:color w:val="000000"/>
                <w:sz w:val="24"/>
                <w:szCs w:val="24"/>
                <w:highlight w:val="none"/>
              </w:rPr>
              <w:t>（签章）</w:t>
            </w:r>
          </w:p>
        </w:tc>
      </w:tr>
      <w:tr w14:paraId="799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DCB3">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建设单位：</w:t>
            </w:r>
            <w:r>
              <w:rPr>
                <w:rFonts w:ascii="微软雅黑" w:hAnsi="微软雅黑" w:eastAsia="微软雅黑"/>
                <w:color w:val="333333"/>
                <w:szCs w:val="21"/>
                <w:highlight w:val="none"/>
              </w:rPr>
              <w:t xml:space="preserve"> </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08EC8">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施工单位：</w:t>
            </w:r>
          </w:p>
        </w:tc>
      </w:tr>
      <w:tr w14:paraId="0EDA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C6159">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组织机构代码：</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58C88">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组织机构代码：</w:t>
            </w:r>
          </w:p>
        </w:tc>
      </w:tr>
      <w:tr w14:paraId="2B93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0523E">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地址：</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40369">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地址：</w:t>
            </w:r>
          </w:p>
        </w:tc>
      </w:tr>
      <w:tr w14:paraId="465D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B7570">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 xml:space="preserve">电话： </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97DC">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 xml:space="preserve">电话： </w:t>
            </w:r>
          </w:p>
        </w:tc>
      </w:tr>
      <w:tr w14:paraId="6DC8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98E8E">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开户银行：</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08D58">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开户银行：</w:t>
            </w:r>
          </w:p>
        </w:tc>
      </w:tr>
      <w:tr w14:paraId="245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2AA39">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账号：</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65C8B">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 xml:space="preserve">账号： </w:t>
            </w:r>
          </w:p>
        </w:tc>
      </w:tr>
      <w:tr w14:paraId="602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6BD9A5">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签订日期：202</w:t>
            </w:r>
            <w:r>
              <w:rPr>
                <w:rFonts w:hint="eastAsia" w:ascii="宋体" w:hAnsi="宋体" w:eastAsia="宋体"/>
                <w:b/>
                <w:bCs/>
                <w:color w:val="000000"/>
                <w:sz w:val="24"/>
                <w:szCs w:val="24"/>
                <w:highlight w:val="none"/>
                <w:lang w:val="en-US" w:eastAsia="zh-CN"/>
              </w:rPr>
              <w:t>5</w:t>
            </w:r>
            <w:r>
              <w:rPr>
                <w:rFonts w:ascii="宋体" w:hAnsi="宋体" w:eastAsia="宋体"/>
                <w:b/>
                <w:bCs/>
                <w:color w:val="000000"/>
                <w:sz w:val="24"/>
                <w:szCs w:val="24"/>
                <w:highlight w:val="none"/>
              </w:rPr>
              <w:t>年  月</w:t>
            </w:r>
            <w:r>
              <w:rPr>
                <w:rFonts w:hint="eastAsia" w:ascii="宋体" w:hAnsi="宋体" w:eastAsia="宋体"/>
                <w:b/>
                <w:bCs/>
                <w:color w:val="000000"/>
                <w:sz w:val="24"/>
                <w:szCs w:val="24"/>
                <w:highlight w:val="none"/>
              </w:rPr>
              <w:t xml:space="preserve"> </w:t>
            </w:r>
            <w:r>
              <w:rPr>
                <w:rFonts w:ascii="宋体" w:hAnsi="宋体" w:eastAsia="宋体"/>
                <w:b/>
                <w:bCs/>
                <w:color w:val="000000"/>
                <w:sz w:val="24"/>
                <w:szCs w:val="24"/>
                <w:highlight w:val="none"/>
              </w:rPr>
              <w:t xml:space="preserve">   日</w:t>
            </w:r>
          </w:p>
        </w:tc>
      </w:tr>
      <w:tr w14:paraId="1B38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0C5207">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签订地点：深圳市罗湖区</w:t>
            </w:r>
          </w:p>
        </w:tc>
      </w:tr>
    </w:tbl>
    <w:p w14:paraId="63CCEA7E">
      <w:pPr>
        <w:snapToGrid w:val="0"/>
        <w:spacing w:before="60" w:after="60"/>
        <w:jc w:val="left"/>
        <w:rPr>
          <w:rFonts w:ascii="微软雅黑" w:hAnsi="微软雅黑" w:eastAsia="微软雅黑"/>
          <w:color w:val="333333"/>
          <w:sz w:val="22"/>
          <w:highlight w:val="none"/>
        </w:rPr>
      </w:pPr>
    </w:p>
    <w:p w14:paraId="1DD173AC">
      <w:pPr>
        <w:widowControl/>
        <w:jc w:val="left"/>
        <w:rPr>
          <w:rFonts w:ascii="微软雅黑" w:hAnsi="微软雅黑" w:eastAsia="微软雅黑"/>
          <w:color w:val="333333"/>
          <w:sz w:val="22"/>
          <w:highlight w:val="none"/>
        </w:rPr>
      </w:pPr>
      <w:r>
        <w:rPr>
          <w:rFonts w:ascii="微软雅黑" w:hAnsi="微软雅黑" w:eastAsia="微软雅黑"/>
          <w:color w:val="333333"/>
          <w:sz w:val="22"/>
          <w:highlight w:val="none"/>
        </w:rPr>
        <w:br w:type="page"/>
      </w:r>
    </w:p>
    <w:p w14:paraId="101AB3FB">
      <w:pPr>
        <w:snapToGrid w:val="0"/>
        <w:spacing w:before="60" w:after="60"/>
        <w:jc w:val="left"/>
        <w:rPr>
          <w:rFonts w:ascii="微软雅黑" w:hAnsi="微软雅黑" w:eastAsia="微软雅黑"/>
          <w:color w:val="333333"/>
          <w:sz w:val="22"/>
          <w:highlight w:val="none"/>
        </w:rPr>
      </w:pPr>
    </w:p>
    <w:p w14:paraId="6F9C2F57">
      <w:pPr>
        <w:snapToGrid w:val="0"/>
        <w:spacing w:line="360" w:lineRule="auto"/>
        <w:ind w:firstLine="720" w:firstLineChars="300"/>
        <w:jc w:val="left"/>
        <w:rPr>
          <w:b/>
          <w:sz w:val="36"/>
          <w:szCs w:val="36"/>
          <w:highlight w:val="none"/>
        </w:rPr>
      </w:pPr>
      <w:r>
        <w:rPr>
          <w:rFonts w:ascii="宋体" w:hAnsi="宋体" w:eastAsia="宋体"/>
          <w:color w:val="000000"/>
          <w:sz w:val="24"/>
          <w:szCs w:val="24"/>
          <w:highlight w:val="none"/>
        </w:rPr>
        <w:t>合同附件</w:t>
      </w:r>
      <w:r>
        <w:rPr>
          <w:rFonts w:hint="eastAsia" w:ascii="宋体" w:hAnsi="宋体" w:eastAsia="宋体"/>
          <w:color w:val="000000"/>
          <w:sz w:val="24"/>
          <w:szCs w:val="24"/>
          <w:highlight w:val="none"/>
        </w:rPr>
        <w:t>一：</w:t>
      </w:r>
    </w:p>
    <w:p w14:paraId="232657D8">
      <w:pPr>
        <w:snapToGrid w:val="0"/>
        <w:spacing w:line="360" w:lineRule="auto"/>
        <w:jc w:val="center"/>
        <w:outlineLvl w:val="0"/>
        <w:rPr>
          <w:rFonts w:ascii="微软雅黑" w:hAnsi="微软雅黑" w:eastAsia="微软雅黑"/>
          <w:color w:val="333333"/>
          <w:sz w:val="22"/>
          <w:highlight w:val="none"/>
        </w:rPr>
      </w:pPr>
      <w:r>
        <w:rPr>
          <w:rFonts w:ascii="宋体" w:hAnsi="宋体" w:eastAsia="宋体"/>
          <w:b/>
          <w:bCs/>
          <w:color w:val="000000"/>
          <w:sz w:val="30"/>
          <w:szCs w:val="30"/>
          <w:highlight w:val="none"/>
        </w:rPr>
        <w:t>工程质量保修书</w:t>
      </w:r>
    </w:p>
    <w:p w14:paraId="3E89F8C5">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发包人（全称）：</w:t>
      </w:r>
    </w:p>
    <w:p w14:paraId="7A0A98C0">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承包人（全称）：</w:t>
      </w:r>
    </w:p>
    <w:p w14:paraId="0B211BE8">
      <w:pPr>
        <w:snapToGrid w:val="0"/>
        <w:spacing w:line="360" w:lineRule="auto"/>
        <w:ind w:firstLine="420" w:firstLineChars="200"/>
        <w:jc w:val="left"/>
        <w:rPr>
          <w:rFonts w:ascii="微软雅黑" w:hAnsi="微软雅黑" w:eastAsia="微软雅黑"/>
          <w:color w:val="333333"/>
          <w:sz w:val="22"/>
          <w:highlight w:val="none"/>
        </w:rPr>
      </w:pPr>
      <w:r>
        <w:rPr>
          <w:rFonts w:ascii="宋体" w:hAnsi="宋体" w:eastAsia="宋体"/>
          <w:color w:val="000000"/>
          <w:szCs w:val="21"/>
          <w:highlight w:val="none"/>
        </w:rPr>
        <w:t>为保证（工程名称）在合理使用期限内正常使用，发包人和承包人根据</w:t>
      </w:r>
      <w:r>
        <w:rPr>
          <w:rFonts w:ascii="宋体" w:hAnsi="宋体" w:eastAsia="宋体"/>
          <w:color w:val="auto"/>
          <w:szCs w:val="21"/>
          <w:highlight w:val="none"/>
        </w:rPr>
        <w:t>《中华人民共和国建筑法（201</w:t>
      </w:r>
      <w:r>
        <w:rPr>
          <w:rFonts w:hint="eastAsia" w:ascii="宋体" w:hAnsi="宋体" w:eastAsia="宋体"/>
          <w:color w:val="auto"/>
          <w:szCs w:val="21"/>
          <w:highlight w:val="none"/>
          <w:lang w:val="en-US" w:eastAsia="zh-CN"/>
        </w:rPr>
        <w:t>9</w:t>
      </w:r>
      <w:r>
        <w:rPr>
          <w:rFonts w:ascii="宋体" w:hAnsi="宋体" w:eastAsia="宋体"/>
          <w:color w:val="auto"/>
          <w:szCs w:val="21"/>
          <w:highlight w:val="none"/>
        </w:rPr>
        <w:t>修正）》、《建设工程质量管理条例》、《</w:t>
      </w:r>
      <w:r>
        <w:rPr>
          <w:rFonts w:hint="eastAsia" w:ascii="宋体" w:hAnsi="宋体" w:eastAsia="宋体"/>
          <w:color w:val="auto"/>
          <w:szCs w:val="21"/>
          <w:highlight w:val="none"/>
        </w:rPr>
        <w:t>深圳市建设工程质量管理条例</w:t>
      </w:r>
      <w:r>
        <w:rPr>
          <w:rFonts w:ascii="宋体" w:hAnsi="宋体" w:eastAsia="宋体"/>
          <w:color w:val="auto"/>
          <w:szCs w:val="21"/>
          <w:highlight w:val="none"/>
        </w:rPr>
        <w:t>》</w:t>
      </w:r>
      <w:r>
        <w:rPr>
          <w:rFonts w:ascii="宋体" w:hAnsi="宋体" w:eastAsia="宋体"/>
          <w:color w:val="000000"/>
          <w:szCs w:val="21"/>
          <w:highlight w:val="none"/>
        </w:rPr>
        <w:t>，经协商一致，签订工程质量保修书。承包人在质量保修期内按照有关规定及双方约定承担工程质量保修责任。</w:t>
      </w:r>
    </w:p>
    <w:p w14:paraId="6C0DD6B1">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一、工程质量保修范围</w:t>
      </w:r>
    </w:p>
    <w:p w14:paraId="01EC9E23">
      <w:pPr>
        <w:snapToGrid w:val="0"/>
        <w:spacing w:line="360" w:lineRule="auto"/>
        <w:ind w:firstLine="420" w:firstLineChars="200"/>
        <w:jc w:val="left"/>
        <w:rPr>
          <w:rFonts w:ascii="微软雅黑" w:hAnsi="微软雅黑" w:eastAsia="微软雅黑"/>
          <w:color w:val="333333"/>
          <w:sz w:val="22"/>
          <w:highlight w:val="none"/>
        </w:rPr>
      </w:pPr>
      <w:r>
        <w:rPr>
          <w:rFonts w:ascii="宋体" w:hAnsi="宋体" w:eastAsia="宋体"/>
          <w:color w:val="000000"/>
          <w:szCs w:val="21"/>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325CB273">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具体质量保修范围，双方约定如下：</w:t>
      </w:r>
    </w:p>
    <w:p w14:paraId="54A7B597">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u w:val="single"/>
        </w:rPr>
        <w:t>承包人承包范围内的所有项目</w:t>
      </w:r>
    </w:p>
    <w:p w14:paraId="242197AC">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二、工程质量保修期</w:t>
      </w:r>
    </w:p>
    <w:p w14:paraId="46122E63">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质量保修期从工程竣工</w:t>
      </w:r>
      <w:r>
        <w:rPr>
          <w:rFonts w:hint="eastAsia" w:ascii="宋体" w:hAnsi="宋体" w:eastAsia="宋体"/>
          <w:color w:val="000000"/>
          <w:szCs w:val="21"/>
          <w:highlight w:val="none"/>
        </w:rPr>
        <w:t>验收合格</w:t>
      </w:r>
      <w:r>
        <w:rPr>
          <w:rFonts w:ascii="宋体" w:hAnsi="宋体" w:eastAsia="宋体"/>
          <w:color w:val="000000"/>
          <w:szCs w:val="21"/>
          <w:highlight w:val="none"/>
        </w:rPr>
        <w:t>之日算起。单项竣工验收的工程，按单项工程分别计算质量保修期。</w:t>
      </w:r>
    </w:p>
    <w:p w14:paraId="6E12F8F4">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双方约定本工程质量保修期如下：</w:t>
      </w:r>
    </w:p>
    <w:p w14:paraId="3865BA6E">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rPr>
        <w:t>□</w:t>
      </w:r>
      <w:r>
        <w:rPr>
          <w:rFonts w:ascii="宋体" w:hAnsi="宋体" w:eastAsia="宋体"/>
          <w:color w:val="000000"/>
          <w:szCs w:val="21"/>
          <w:highlight w:val="none"/>
        </w:rPr>
        <w:t>地基基础工程、主体结构工程为设计文件规定的合理使用年限；</w:t>
      </w:r>
    </w:p>
    <w:p w14:paraId="4E254680">
      <w:pPr>
        <w:snapToGrid w:val="0"/>
        <w:spacing w:line="360" w:lineRule="auto"/>
        <w:ind w:firstLine="640" w:firstLineChars="200"/>
        <w:rPr>
          <w:rFonts w:ascii="微软雅黑" w:hAnsi="微软雅黑" w:eastAsia="微软雅黑"/>
          <w:color w:val="333333"/>
          <w:sz w:val="22"/>
          <w:highlight w:val="none"/>
        </w:rPr>
      </w:pPr>
      <w:r>
        <w:rPr>
          <w:rFonts w:ascii="宋体" w:hAnsi="宋体" w:eastAsia="宋体"/>
          <w:color w:val="000000"/>
          <w:sz w:val="32"/>
          <w:szCs w:val="32"/>
          <w:highlight w:val="none"/>
        </w:rPr>
        <w:sym w:font="Wingdings 2" w:char="0052"/>
      </w:r>
      <w:r>
        <w:rPr>
          <w:rFonts w:ascii="宋体" w:hAnsi="宋体" w:eastAsia="宋体"/>
          <w:color w:val="000000"/>
          <w:szCs w:val="21"/>
          <w:highlight w:val="none"/>
        </w:rPr>
        <w:t>屋面防水工程、有防水要求的卫生间/房间和外墙面的防渗漏工程为</w:t>
      </w:r>
      <w:r>
        <w:rPr>
          <w:rFonts w:ascii="宋体" w:hAnsi="宋体" w:eastAsia="宋体"/>
          <w:color w:val="000000"/>
          <w:szCs w:val="21"/>
          <w:highlight w:val="none"/>
          <w:u w:val="single"/>
        </w:rPr>
        <w:t>5</w:t>
      </w:r>
      <w:r>
        <w:rPr>
          <w:rFonts w:ascii="宋体" w:hAnsi="宋体" w:eastAsia="宋体"/>
          <w:color w:val="000000"/>
          <w:szCs w:val="21"/>
          <w:highlight w:val="none"/>
        </w:rPr>
        <w:t>年（最低为5年）；</w:t>
      </w:r>
    </w:p>
    <w:p w14:paraId="074D2D09">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电气管线工程、给排水管道工程、设备安装工程为</w:t>
      </w:r>
      <w:r>
        <w:rPr>
          <w:rFonts w:ascii="宋体" w:hAnsi="宋体" w:eastAsia="宋体"/>
          <w:color w:val="000000"/>
          <w:szCs w:val="21"/>
          <w:highlight w:val="none"/>
          <w:u w:val="single"/>
        </w:rPr>
        <w:t>2</w:t>
      </w:r>
      <w:r>
        <w:rPr>
          <w:rFonts w:ascii="宋体" w:hAnsi="宋体" w:eastAsia="宋体"/>
          <w:color w:val="000000"/>
          <w:szCs w:val="21"/>
          <w:highlight w:val="none"/>
        </w:rPr>
        <w:t>年（最低为2年）；</w:t>
      </w:r>
    </w:p>
    <w:p w14:paraId="00DFD2E4">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供热和供冷系统工程为</w:t>
      </w:r>
      <w:r>
        <w:rPr>
          <w:rFonts w:ascii="宋体" w:hAnsi="宋体" w:eastAsia="宋体"/>
          <w:color w:val="000000"/>
          <w:szCs w:val="21"/>
          <w:highlight w:val="none"/>
          <w:u w:val="single"/>
        </w:rPr>
        <w:t>2</w:t>
      </w:r>
      <w:r>
        <w:rPr>
          <w:rFonts w:ascii="宋体" w:hAnsi="宋体" w:eastAsia="宋体"/>
          <w:color w:val="000000"/>
          <w:szCs w:val="21"/>
          <w:highlight w:val="none"/>
        </w:rPr>
        <w:t>个（最低为2个）采暖期、供冷期；</w:t>
      </w:r>
    </w:p>
    <w:p w14:paraId="0EE6A5B0">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装饰装修工程为</w:t>
      </w:r>
      <w:r>
        <w:rPr>
          <w:rFonts w:ascii="宋体" w:hAnsi="宋体" w:eastAsia="宋体"/>
          <w:color w:val="000000"/>
          <w:szCs w:val="21"/>
          <w:highlight w:val="none"/>
          <w:u w:val="single"/>
        </w:rPr>
        <w:t>2</w:t>
      </w:r>
      <w:r>
        <w:rPr>
          <w:rFonts w:ascii="宋体" w:hAnsi="宋体" w:eastAsia="宋体"/>
          <w:color w:val="000000"/>
          <w:szCs w:val="21"/>
          <w:highlight w:val="none"/>
        </w:rPr>
        <w:t>年；</w:t>
      </w:r>
    </w:p>
    <w:p w14:paraId="73FE05DA">
      <w:pPr>
        <w:snapToGrid w:val="0"/>
        <w:spacing w:line="360" w:lineRule="auto"/>
        <w:ind w:firstLine="640" w:firstLineChars="200"/>
        <w:rPr>
          <w:rFonts w:hint="eastAsia" w:ascii="微软雅黑" w:hAnsi="微软雅黑" w:eastAsia="宋体"/>
          <w:color w:val="333333"/>
          <w:sz w:val="22"/>
          <w:highlight w:val="none"/>
          <w:lang w:eastAsia="zh-CN"/>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其他项目保修期约定：</w:t>
      </w:r>
      <w:r>
        <w:rPr>
          <w:rFonts w:hint="eastAsia" w:ascii="宋体" w:hAnsi="宋体" w:eastAsia="宋体"/>
          <w:color w:val="000000"/>
          <w:szCs w:val="21"/>
          <w:highlight w:val="none"/>
          <w:lang w:eastAsia="zh-CN"/>
        </w:rPr>
        <w:t>2年，且不低于法定保修期限</w:t>
      </w:r>
    </w:p>
    <w:p w14:paraId="5F2F2C1F">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三、工程质量保修责任</w:t>
      </w:r>
    </w:p>
    <w:p w14:paraId="628BEB97">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1.属于保修范围内的项目，在保修期内，承包人应在接到保修通知之后24小时内派人修理。承包人不在约定期限内派人修理，发包人可委托其他人员修理，由此产生的费用由乙方承担，优先从质量保证金中扣除。</w:t>
      </w:r>
    </w:p>
    <w:p w14:paraId="02909E1C">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2.发生紧急抢修事故的，承包人接到事故通知后，应立即到达事故现场抢修。</w:t>
      </w:r>
    </w:p>
    <w:p w14:paraId="2646704F">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四、工程质量保修费用</w:t>
      </w:r>
    </w:p>
    <w:p w14:paraId="2ABC5E16">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工程质量保修费用及相关的损害赔偿责任由造成质量缺陷的责任方承担。</w:t>
      </w:r>
    </w:p>
    <w:p w14:paraId="2C9974D6">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五、工程质量保证方式</w:t>
      </w:r>
    </w:p>
    <w:p w14:paraId="663FE504">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工程质量保证方式可采用以下方式：</w:t>
      </w:r>
    </w:p>
    <w:p w14:paraId="71E35B2E">
      <w:pPr>
        <w:snapToGrid w:val="0"/>
        <w:spacing w:line="360" w:lineRule="auto"/>
        <w:ind w:firstLine="640" w:firstLineChars="200"/>
        <w:rPr>
          <w:rFonts w:ascii="微软雅黑" w:hAnsi="微软雅黑" w:eastAsia="微软雅黑"/>
          <w:color w:val="333333"/>
          <w:sz w:val="22"/>
          <w:highlight w:val="none"/>
        </w:rPr>
      </w:pPr>
      <w:r>
        <w:rPr>
          <w:rFonts w:ascii="宋体" w:hAnsi="宋体" w:eastAsia="宋体"/>
          <w:color w:val="000000"/>
          <w:sz w:val="32"/>
          <w:szCs w:val="32"/>
          <w:highlight w:val="none"/>
        </w:rPr>
        <w:t>☑</w:t>
      </w:r>
      <w:r>
        <w:rPr>
          <w:rFonts w:ascii="宋体" w:hAnsi="宋体" w:eastAsia="宋体"/>
          <w:color w:val="000000"/>
          <w:szCs w:val="21"/>
          <w:highlight w:val="none"/>
        </w:rPr>
        <w:t>质量保证金：</w:t>
      </w:r>
    </w:p>
    <w:p w14:paraId="58EC361D">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质量保证金一般不超过签约合同价的</w:t>
      </w:r>
      <w:r>
        <w:rPr>
          <w:rFonts w:hint="eastAsia" w:ascii="Calibri,sans-serif" w:hAnsi="Calibri,sans-serif" w:eastAsia="宋体"/>
          <w:color w:val="000000"/>
          <w:szCs w:val="21"/>
          <w:highlight w:val="none"/>
          <w:lang w:val="en-US" w:eastAsia="zh-CN"/>
        </w:rPr>
        <w:t>3</w:t>
      </w:r>
      <w:r>
        <w:rPr>
          <w:rFonts w:ascii="宋体" w:hAnsi="宋体" w:eastAsia="宋体"/>
          <w:color w:val="000000"/>
          <w:szCs w:val="21"/>
          <w:highlight w:val="none"/>
        </w:rPr>
        <w:t>％，发包人承包人约定本工程的质量保证金为</w:t>
      </w:r>
      <w:r>
        <w:rPr>
          <w:rFonts w:hint="eastAsia" w:ascii="宋体" w:hAnsi="宋体" w:eastAsia="宋体"/>
          <w:color w:val="000000"/>
          <w:szCs w:val="21"/>
          <w:highlight w:val="none"/>
        </w:rPr>
        <w:t>工程结算</w:t>
      </w:r>
      <w:r>
        <w:rPr>
          <w:rFonts w:ascii="宋体" w:hAnsi="宋体" w:eastAsia="宋体"/>
          <w:color w:val="000000"/>
          <w:szCs w:val="21"/>
          <w:highlight w:val="none"/>
        </w:rPr>
        <w:t>价的</w:t>
      </w:r>
      <w:r>
        <w:rPr>
          <w:rFonts w:ascii="宋体" w:hAnsi="宋体" w:eastAsia="宋体"/>
          <w:color w:val="000000"/>
          <w:szCs w:val="21"/>
          <w:highlight w:val="none"/>
          <w:u w:val="single"/>
        </w:rPr>
        <w:t>3</w:t>
      </w:r>
      <w:r>
        <w:rPr>
          <w:rFonts w:ascii="宋体" w:hAnsi="宋体" w:eastAsia="宋体"/>
          <w:color w:val="000000"/>
          <w:szCs w:val="21"/>
          <w:highlight w:val="none"/>
        </w:rPr>
        <w:t>％，具体为：</w:t>
      </w:r>
    </w:p>
    <w:p w14:paraId="6394C49B">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币种：</w:t>
      </w:r>
      <w:r>
        <w:rPr>
          <w:rFonts w:ascii="宋体" w:hAnsi="宋体" w:eastAsia="宋体"/>
          <w:color w:val="000000"/>
          <w:szCs w:val="21"/>
          <w:highlight w:val="none"/>
          <w:u w:val="single"/>
        </w:rPr>
        <w:t>人民币</w:t>
      </w:r>
    </w:p>
    <w:p w14:paraId="1BB52742">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金额（大写）：元</w:t>
      </w:r>
    </w:p>
    <w:p w14:paraId="4687C7E6">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（小写）：元</w:t>
      </w:r>
    </w:p>
    <w:p w14:paraId="6C0417F5">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质量保证金银行利率为：</w:t>
      </w:r>
      <w:r>
        <w:rPr>
          <w:rFonts w:ascii="宋体" w:hAnsi="宋体" w:eastAsia="宋体"/>
          <w:color w:val="000000"/>
          <w:szCs w:val="21"/>
          <w:highlight w:val="none"/>
          <w:u w:val="single"/>
        </w:rPr>
        <w:t>人民币</w:t>
      </w:r>
    </w:p>
    <w:p w14:paraId="36D3E999">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□工程质量保证担保：</w:t>
      </w:r>
    </w:p>
    <w:p w14:paraId="59D44C53">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□工程质量保险：</w:t>
      </w:r>
    </w:p>
    <w:p w14:paraId="67D6DC6F">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六、质量保证金的支付</w:t>
      </w:r>
    </w:p>
    <w:p w14:paraId="5CEDDB1C">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采用质量保证金方式时，</w:t>
      </w:r>
      <w:r>
        <w:rPr>
          <w:rFonts w:ascii="宋体" w:hAnsi="宋体" w:eastAsia="宋体"/>
          <w:color w:val="000000"/>
          <w:szCs w:val="21"/>
          <w:highlight w:val="none"/>
          <w:u w:val="single"/>
        </w:rPr>
        <w:t>发包人在工程竣工验收合格满</w:t>
      </w:r>
      <w:r>
        <w:rPr>
          <w:rFonts w:hint="eastAsia" w:ascii="宋体" w:hAnsi="宋体" w:eastAsia="宋体"/>
          <w:color w:val="000000"/>
          <w:szCs w:val="21"/>
          <w:highlight w:val="none"/>
          <w:u w:val="single"/>
          <w:lang w:val="en-US" w:eastAsia="zh-CN"/>
        </w:rPr>
        <w:t>2</w:t>
      </w:r>
      <w:r>
        <w:rPr>
          <w:rFonts w:ascii="宋体" w:hAnsi="宋体" w:eastAsia="宋体"/>
          <w:color w:val="000000"/>
          <w:szCs w:val="21"/>
          <w:highlight w:val="none"/>
          <w:u w:val="single"/>
        </w:rPr>
        <w:t>年后，无保修质量问题，无息支付承包人，但并不免除承包人在保修期内的保修责任。</w:t>
      </w:r>
    </w:p>
    <w:p w14:paraId="1DEFA37D">
      <w:pPr>
        <w:snapToGrid w:val="0"/>
        <w:spacing w:line="360" w:lineRule="auto"/>
        <w:ind w:firstLine="420" w:firstLineChars="200"/>
        <w:rPr>
          <w:rFonts w:hint="eastAsia" w:ascii="微软雅黑" w:hAnsi="微软雅黑" w:eastAsia="微软雅黑"/>
          <w:color w:val="333333"/>
          <w:sz w:val="22"/>
          <w:highlight w:val="none"/>
        </w:rPr>
      </w:pPr>
      <w:r>
        <w:rPr>
          <w:rFonts w:ascii="宋体" w:hAnsi="宋体" w:eastAsia="宋体"/>
          <w:color w:val="000000"/>
          <w:szCs w:val="21"/>
          <w:highlight w:val="none"/>
        </w:rPr>
        <w:t>如发包人</w:t>
      </w:r>
      <w:r>
        <w:rPr>
          <w:rFonts w:hint="eastAsia" w:ascii="宋体" w:hAnsi="宋体" w:eastAsia="宋体"/>
          <w:color w:val="000000"/>
          <w:szCs w:val="21"/>
          <w:highlight w:val="none"/>
        </w:rPr>
        <w:t>无故</w:t>
      </w:r>
      <w:r>
        <w:rPr>
          <w:rFonts w:ascii="宋体" w:hAnsi="宋体" w:eastAsia="宋体"/>
          <w:color w:val="000000"/>
          <w:szCs w:val="21"/>
          <w:highlight w:val="none"/>
        </w:rPr>
        <w:t>不在约定时限内足额向承包人支付剩余质量保证金，发包人应从约定应付之日起</w:t>
      </w:r>
      <w:r>
        <w:rPr>
          <w:rFonts w:hint="eastAsia" w:ascii="宋体" w:hAnsi="宋体" w:eastAsia="宋体"/>
          <w:color w:val="000000"/>
          <w:szCs w:val="21"/>
          <w:highlight w:val="none"/>
        </w:rPr>
        <w:t>，</w:t>
      </w:r>
      <w:r>
        <w:rPr>
          <w:rFonts w:ascii="宋体" w:hAnsi="宋体" w:eastAsia="宋体"/>
          <w:color w:val="000000"/>
          <w:szCs w:val="21"/>
          <w:highlight w:val="none"/>
        </w:rPr>
        <w:t>按每延期一天向承包人赔偿拖欠款额的</w:t>
      </w:r>
      <w:r>
        <w:rPr>
          <w:rFonts w:hint="eastAsia" w:ascii="宋体" w:hAnsi="宋体" w:eastAsia="宋体"/>
          <w:color w:val="000000"/>
          <w:szCs w:val="21"/>
          <w:highlight w:val="none"/>
        </w:rPr>
        <w:t>万分之</w:t>
      </w:r>
      <w:r>
        <w:rPr>
          <w:rFonts w:hint="eastAsia" w:ascii="宋体" w:hAnsi="宋体" w:eastAsia="宋体"/>
          <w:color w:val="000000"/>
          <w:szCs w:val="21"/>
          <w:highlight w:val="none"/>
          <w:lang w:val="en-US" w:eastAsia="zh-CN"/>
        </w:rPr>
        <w:t>三</w:t>
      </w:r>
      <w:r>
        <w:rPr>
          <w:rFonts w:ascii="宋体" w:hAnsi="宋体" w:eastAsia="宋体"/>
          <w:color w:val="000000"/>
          <w:szCs w:val="21"/>
          <w:highlight w:val="none"/>
        </w:rPr>
        <w:t>的标准</w:t>
      </w:r>
      <w:r>
        <w:rPr>
          <w:rFonts w:hint="eastAsia" w:ascii="宋体" w:hAnsi="宋体" w:eastAsia="宋体"/>
          <w:color w:val="000000"/>
          <w:szCs w:val="21"/>
          <w:highlight w:val="none"/>
        </w:rPr>
        <w:t>支付</w:t>
      </w:r>
      <w:r>
        <w:rPr>
          <w:rFonts w:ascii="宋体" w:hAnsi="宋体" w:eastAsia="宋体"/>
          <w:color w:val="000000"/>
          <w:szCs w:val="21"/>
          <w:highlight w:val="none"/>
        </w:rPr>
        <w:t>违约</w:t>
      </w:r>
      <w:r>
        <w:rPr>
          <w:rFonts w:hint="eastAsia" w:ascii="宋体" w:hAnsi="宋体" w:eastAsia="宋体"/>
          <w:color w:val="000000"/>
          <w:szCs w:val="21"/>
          <w:highlight w:val="none"/>
        </w:rPr>
        <w:t>金</w:t>
      </w:r>
      <w:r>
        <w:rPr>
          <w:rFonts w:ascii="宋体" w:hAnsi="宋体" w:eastAsia="宋体"/>
          <w:color w:val="000000"/>
          <w:szCs w:val="21"/>
          <w:highlight w:val="none"/>
        </w:rPr>
        <w:t>。</w:t>
      </w:r>
    </w:p>
    <w:p w14:paraId="72EE0C1E">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七、其他</w:t>
      </w:r>
    </w:p>
    <w:p w14:paraId="63A97544">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发包人承包人约定的其他工程质量保修事项：</w:t>
      </w:r>
    </w:p>
    <w:p w14:paraId="4563C7DE">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u w:val="single"/>
        </w:rPr>
        <w:t>/</w:t>
      </w:r>
    </w:p>
    <w:p w14:paraId="5B544CB0">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本《工程质量保修书》作为施工合同附件由发包人承包人双方共同签署。</w:t>
      </w:r>
    </w:p>
    <w:tbl>
      <w:tblPr>
        <w:tblStyle w:val="18"/>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4531"/>
      </w:tblGrid>
      <w:tr w14:paraId="38FA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531" w:type="dxa"/>
            <w:vAlign w:val="center"/>
          </w:tcPr>
          <w:p w14:paraId="688ACD59">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发包人（</w:t>
            </w:r>
            <w:r>
              <w:rPr>
                <w:rFonts w:hint="eastAsia" w:ascii="宋体" w:hAnsi="宋体" w:eastAsia="宋体"/>
                <w:color w:val="000000"/>
                <w:szCs w:val="21"/>
                <w:highlight w:val="none"/>
              </w:rPr>
              <w:t>盖章</w:t>
            </w:r>
            <w:r>
              <w:rPr>
                <w:rFonts w:ascii="宋体" w:hAnsi="宋体" w:eastAsia="宋体"/>
                <w:color w:val="000000"/>
                <w:szCs w:val="21"/>
                <w:highlight w:val="none"/>
              </w:rPr>
              <w:t>）：</w:t>
            </w:r>
          </w:p>
        </w:tc>
        <w:tc>
          <w:tcPr>
            <w:tcW w:w="4531" w:type="dxa"/>
            <w:vAlign w:val="center"/>
          </w:tcPr>
          <w:p w14:paraId="680548DB">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承包人（</w:t>
            </w:r>
            <w:r>
              <w:rPr>
                <w:rFonts w:hint="eastAsia" w:ascii="宋体" w:hAnsi="宋体" w:eastAsia="宋体"/>
                <w:color w:val="000000"/>
                <w:szCs w:val="21"/>
                <w:highlight w:val="none"/>
              </w:rPr>
              <w:t>盖章</w:t>
            </w:r>
            <w:r>
              <w:rPr>
                <w:rFonts w:ascii="宋体" w:hAnsi="宋体" w:eastAsia="宋体"/>
                <w:color w:val="000000"/>
                <w:szCs w:val="21"/>
                <w:highlight w:val="none"/>
              </w:rPr>
              <w:t>）：</w:t>
            </w:r>
          </w:p>
        </w:tc>
      </w:tr>
      <w:tr w14:paraId="6309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531" w:type="dxa"/>
            <w:vAlign w:val="center"/>
          </w:tcPr>
          <w:p w14:paraId="6C0AA282">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法定代表人（签章）：</w:t>
            </w:r>
          </w:p>
        </w:tc>
        <w:tc>
          <w:tcPr>
            <w:tcW w:w="4531" w:type="dxa"/>
            <w:vAlign w:val="center"/>
          </w:tcPr>
          <w:p w14:paraId="0703D50D">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法定代表人（签章）：</w:t>
            </w:r>
          </w:p>
        </w:tc>
      </w:tr>
      <w:tr w14:paraId="282B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31" w:type="dxa"/>
            <w:vAlign w:val="center"/>
          </w:tcPr>
          <w:p w14:paraId="1A72E540">
            <w:pPr>
              <w:snapToGrid w:val="0"/>
              <w:spacing w:line="360" w:lineRule="auto"/>
              <w:rPr>
                <w:rFonts w:ascii="宋体" w:hAnsi="宋体" w:eastAsia="宋体"/>
                <w:color w:val="000000"/>
                <w:szCs w:val="21"/>
                <w:highlight w:val="none"/>
              </w:rPr>
            </w:pPr>
            <w:r>
              <w:rPr>
                <w:rFonts w:hint="eastAsia" w:ascii="宋体" w:hAnsi="宋体" w:eastAsia="宋体"/>
                <w:color w:val="000000"/>
                <w:szCs w:val="21"/>
                <w:highlight w:val="none"/>
              </w:rPr>
              <w:t xml:space="preserve">日期：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年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月 </w:t>
            </w:r>
            <w:r>
              <w:rPr>
                <w:rFonts w:ascii="宋体" w:hAnsi="宋体" w:eastAsia="宋体"/>
                <w:color w:val="000000"/>
                <w:szCs w:val="21"/>
                <w:highlight w:val="none"/>
              </w:rPr>
              <w:t xml:space="preserve">  </w:t>
            </w:r>
            <w:r>
              <w:rPr>
                <w:rFonts w:hint="eastAsia" w:ascii="宋体" w:hAnsi="宋体" w:eastAsia="宋体"/>
                <w:color w:val="000000"/>
                <w:szCs w:val="21"/>
                <w:highlight w:val="none"/>
              </w:rPr>
              <w:t>日</w:t>
            </w:r>
          </w:p>
        </w:tc>
        <w:tc>
          <w:tcPr>
            <w:tcW w:w="4531" w:type="dxa"/>
            <w:vAlign w:val="center"/>
          </w:tcPr>
          <w:p w14:paraId="2433C599">
            <w:pPr>
              <w:snapToGrid w:val="0"/>
              <w:spacing w:line="360" w:lineRule="auto"/>
              <w:rPr>
                <w:rFonts w:ascii="宋体" w:hAnsi="宋体" w:eastAsia="宋体"/>
                <w:color w:val="000000"/>
                <w:szCs w:val="21"/>
                <w:highlight w:val="none"/>
              </w:rPr>
            </w:pPr>
            <w:r>
              <w:rPr>
                <w:rFonts w:hint="eastAsia" w:ascii="宋体" w:hAnsi="宋体" w:eastAsia="宋体"/>
                <w:color w:val="000000"/>
                <w:szCs w:val="21"/>
                <w:highlight w:val="none"/>
              </w:rPr>
              <w:t xml:space="preserve">日期：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年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月 </w:t>
            </w:r>
            <w:r>
              <w:rPr>
                <w:rFonts w:ascii="宋体" w:hAnsi="宋体" w:eastAsia="宋体"/>
                <w:color w:val="000000"/>
                <w:szCs w:val="21"/>
                <w:highlight w:val="none"/>
              </w:rPr>
              <w:t xml:space="preserve">  </w:t>
            </w:r>
            <w:r>
              <w:rPr>
                <w:rFonts w:hint="eastAsia" w:ascii="宋体" w:hAnsi="宋体" w:eastAsia="宋体"/>
                <w:color w:val="000000"/>
                <w:szCs w:val="21"/>
                <w:highlight w:val="none"/>
              </w:rPr>
              <w:t>日</w:t>
            </w:r>
          </w:p>
        </w:tc>
      </w:tr>
    </w:tbl>
    <w:p w14:paraId="4404F55B">
      <w:pPr>
        <w:rPr>
          <w:rFonts w:ascii="微软雅黑" w:hAnsi="微软雅黑" w:eastAsia="微软雅黑"/>
          <w:highlight w:val="none"/>
        </w:rPr>
      </w:pPr>
      <w:r>
        <w:rPr>
          <w:rFonts w:ascii="微软雅黑" w:hAnsi="微软雅黑" w:eastAsia="微软雅黑"/>
          <w:highlight w:val="none"/>
        </w:rPr>
        <w:br w:type="page"/>
      </w:r>
    </w:p>
    <w:p w14:paraId="14E8CA0A">
      <w:pPr>
        <w:snapToGrid w:val="0"/>
        <w:spacing w:line="360" w:lineRule="auto"/>
        <w:jc w:val="left"/>
        <w:rPr>
          <w:rFonts w:hint="default" w:eastAsia="宋体"/>
          <w:b/>
          <w:bCs/>
          <w:highlight w:val="none"/>
          <w:lang w:val="en-US" w:eastAsia="zh-CN"/>
        </w:rPr>
      </w:pPr>
      <w:r>
        <w:rPr>
          <w:rFonts w:ascii="宋体" w:hAnsi="宋体" w:eastAsia="宋体"/>
          <w:b/>
          <w:bCs/>
          <w:color w:val="000000"/>
          <w:sz w:val="24"/>
          <w:szCs w:val="24"/>
          <w:highlight w:val="none"/>
        </w:rPr>
        <w:t>合同附件</w:t>
      </w:r>
      <w:r>
        <w:rPr>
          <w:rFonts w:hint="eastAsia" w:ascii="宋体" w:hAnsi="宋体" w:eastAsia="宋体"/>
          <w:b/>
          <w:bCs/>
          <w:color w:val="000000"/>
          <w:sz w:val="24"/>
          <w:szCs w:val="24"/>
          <w:highlight w:val="none"/>
        </w:rPr>
        <w:t>二：</w:t>
      </w:r>
      <w:r>
        <w:rPr>
          <w:rFonts w:hint="eastAsia" w:ascii="宋体" w:hAnsi="宋体" w:eastAsia="宋体"/>
          <w:b/>
          <w:bCs/>
          <w:color w:val="000000"/>
          <w:sz w:val="24"/>
          <w:szCs w:val="24"/>
          <w:highlight w:val="none"/>
          <w:lang w:eastAsia="zh-CN"/>
        </w:rPr>
        <w:t>《</w:t>
      </w:r>
      <w:r>
        <w:rPr>
          <w:rFonts w:hint="eastAsia" w:ascii="宋体" w:hAnsi="宋体" w:eastAsia="宋体"/>
          <w:b/>
          <w:bCs/>
          <w:color w:val="000000"/>
          <w:sz w:val="24"/>
          <w:szCs w:val="24"/>
          <w:highlight w:val="none"/>
          <w:lang w:val="en-US" w:eastAsia="zh-CN"/>
        </w:rPr>
        <w:t>维修清单》</w:t>
      </w:r>
    </w:p>
    <w:p w14:paraId="721411F6">
      <w:pPr>
        <w:rPr>
          <w:highlight w:val="none"/>
        </w:rPr>
      </w:pPr>
    </w:p>
    <w:sectPr>
      <w:footerReference r:id="rId3"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6D03">
    <w:pPr>
      <w:pStyle w:val="12"/>
      <w:jc w:val="center"/>
    </w:pPr>
    <w:r>
      <w:rPr>
        <w:rFonts w:hint="eastAsia"/>
      </w:rPr>
      <w:t>第</w:t>
    </w:r>
    <w:sdt>
      <w:sdtPr>
        <w:id w:val="-1"/>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sdtContent>
        </w:sdt>
        <w:r>
          <w:t xml:space="preserve"> </w:t>
        </w:r>
        <w:r>
          <w:rPr>
            <w:rFonts w:hint="eastAsia"/>
          </w:rPr>
          <w:t>页</w:t>
        </w:r>
      </w:sdtContent>
    </w:sdt>
  </w:p>
  <w:p w14:paraId="56876F3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1F6BB"/>
    <w:multiLevelType w:val="singleLevel"/>
    <w:tmpl w:val="8611F6BB"/>
    <w:lvl w:ilvl="0" w:tentative="0">
      <w:start w:val="1"/>
      <w:numFmt w:val="decimal"/>
      <w:lvlText w:val="%1."/>
      <w:lvlJc w:val="left"/>
      <w:pPr>
        <w:ind w:left="425" w:hanging="425"/>
      </w:pPr>
      <w:rPr>
        <w:rFonts w:hint="default"/>
      </w:rPr>
    </w:lvl>
  </w:abstractNum>
  <w:abstractNum w:abstractNumId="1">
    <w:nsid w:val="9B64940F"/>
    <w:multiLevelType w:val="singleLevel"/>
    <w:tmpl w:val="9B64940F"/>
    <w:lvl w:ilvl="0" w:tentative="0">
      <w:start w:val="1"/>
      <w:numFmt w:val="decimal"/>
      <w:lvlText w:val="%1."/>
      <w:lvlJc w:val="left"/>
      <w:pPr>
        <w:ind w:left="425" w:hanging="425"/>
      </w:pPr>
      <w:rPr>
        <w:rFonts w:hint="default"/>
      </w:rPr>
    </w:lvl>
  </w:abstractNum>
  <w:abstractNum w:abstractNumId="2">
    <w:nsid w:val="9BF18129"/>
    <w:multiLevelType w:val="singleLevel"/>
    <w:tmpl w:val="9BF18129"/>
    <w:lvl w:ilvl="0" w:tentative="0">
      <w:start w:val="1"/>
      <w:numFmt w:val="chineseCounting"/>
      <w:suff w:val="nothing"/>
      <w:lvlText w:val="（%1）"/>
      <w:lvlJc w:val="left"/>
      <w:pPr>
        <w:ind w:left="0" w:firstLine="420"/>
      </w:pPr>
      <w:rPr>
        <w:rFonts w:hint="eastAsia"/>
      </w:rPr>
    </w:lvl>
  </w:abstractNum>
  <w:abstractNum w:abstractNumId="3">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4">
    <w:nsid w:val="B9AEB6FE"/>
    <w:multiLevelType w:val="singleLevel"/>
    <w:tmpl w:val="B9AEB6FE"/>
    <w:lvl w:ilvl="0" w:tentative="0">
      <w:start w:val="1"/>
      <w:numFmt w:val="decimal"/>
      <w:lvlText w:val="%1."/>
      <w:lvlJc w:val="left"/>
      <w:pPr>
        <w:ind w:left="425" w:hanging="425"/>
      </w:pPr>
      <w:rPr>
        <w:rFonts w:hint="default"/>
      </w:rPr>
    </w:lvl>
  </w:abstractNum>
  <w:abstractNum w:abstractNumId="5">
    <w:nsid w:val="BAC80C34"/>
    <w:multiLevelType w:val="singleLevel"/>
    <w:tmpl w:val="BAC80C34"/>
    <w:lvl w:ilvl="0" w:tentative="0">
      <w:start w:val="1"/>
      <w:numFmt w:val="chineseCounting"/>
      <w:suff w:val="nothing"/>
      <w:lvlText w:val="（%1）"/>
      <w:lvlJc w:val="left"/>
      <w:pPr>
        <w:ind w:left="0" w:firstLine="420"/>
      </w:pPr>
      <w:rPr>
        <w:rFonts w:hint="eastAsia"/>
      </w:rPr>
    </w:lvl>
  </w:abstractNum>
  <w:abstractNum w:abstractNumId="6">
    <w:nsid w:val="D07F19B4"/>
    <w:multiLevelType w:val="singleLevel"/>
    <w:tmpl w:val="D07F19B4"/>
    <w:lvl w:ilvl="0" w:tentative="0">
      <w:start w:val="1"/>
      <w:numFmt w:val="chineseCounting"/>
      <w:suff w:val="nothing"/>
      <w:lvlText w:val="（%1）"/>
      <w:lvlJc w:val="left"/>
      <w:pPr>
        <w:ind w:left="147" w:firstLine="420"/>
      </w:pPr>
      <w:rPr>
        <w:rFonts w:hint="eastAsia"/>
      </w:rPr>
    </w:lvl>
  </w:abstractNum>
  <w:abstractNum w:abstractNumId="7">
    <w:nsid w:val="D405773E"/>
    <w:multiLevelType w:val="singleLevel"/>
    <w:tmpl w:val="D405773E"/>
    <w:lvl w:ilvl="0" w:tentative="0">
      <w:start w:val="1"/>
      <w:numFmt w:val="chineseCounting"/>
      <w:suff w:val="nothing"/>
      <w:lvlText w:val="（%1）"/>
      <w:lvlJc w:val="left"/>
      <w:pPr>
        <w:ind w:left="0" w:firstLine="420"/>
      </w:pPr>
      <w:rPr>
        <w:rFonts w:hint="eastAsia"/>
        <w:strike w:val="0"/>
        <w:dstrike w:val="0"/>
      </w:rPr>
    </w:lvl>
  </w:abstractNum>
  <w:abstractNum w:abstractNumId="8">
    <w:nsid w:val="D5B5F7BF"/>
    <w:multiLevelType w:val="singleLevel"/>
    <w:tmpl w:val="D5B5F7BF"/>
    <w:lvl w:ilvl="0" w:tentative="0">
      <w:start w:val="1"/>
      <w:numFmt w:val="decimal"/>
      <w:lvlText w:val="%1."/>
      <w:lvlJc w:val="left"/>
      <w:pPr>
        <w:ind w:left="425" w:hanging="425"/>
      </w:pPr>
      <w:rPr>
        <w:rFonts w:hint="default"/>
      </w:rPr>
    </w:lvl>
  </w:abstractNum>
  <w:abstractNum w:abstractNumId="9">
    <w:nsid w:val="DD0ABA3B"/>
    <w:multiLevelType w:val="singleLevel"/>
    <w:tmpl w:val="DD0ABA3B"/>
    <w:lvl w:ilvl="0" w:tentative="0">
      <w:start w:val="1"/>
      <w:numFmt w:val="decimal"/>
      <w:lvlText w:val="%1."/>
      <w:lvlJc w:val="left"/>
      <w:pPr>
        <w:tabs>
          <w:tab w:val="left" w:pos="312"/>
        </w:tabs>
      </w:pPr>
    </w:lvl>
  </w:abstractNum>
  <w:abstractNum w:abstractNumId="10">
    <w:nsid w:val="E351FDB7"/>
    <w:multiLevelType w:val="singleLevel"/>
    <w:tmpl w:val="E351FDB7"/>
    <w:lvl w:ilvl="0" w:tentative="0">
      <w:start w:val="1"/>
      <w:numFmt w:val="decimal"/>
      <w:lvlText w:val="(%1)"/>
      <w:lvlJc w:val="left"/>
      <w:pPr>
        <w:ind w:left="454" w:leftChars="0" w:firstLine="396" w:firstLineChars="0"/>
      </w:pPr>
      <w:rPr>
        <w:rFonts w:hint="default"/>
      </w:rPr>
    </w:lvl>
  </w:abstractNum>
  <w:abstractNum w:abstractNumId="11">
    <w:nsid w:val="E975DD6B"/>
    <w:multiLevelType w:val="singleLevel"/>
    <w:tmpl w:val="E975DD6B"/>
    <w:lvl w:ilvl="0" w:tentative="0">
      <w:start w:val="1"/>
      <w:numFmt w:val="decimal"/>
      <w:lvlText w:val="%1."/>
      <w:lvlJc w:val="left"/>
      <w:pPr>
        <w:ind w:left="425" w:hanging="425"/>
      </w:pPr>
      <w:rPr>
        <w:rFonts w:hint="default"/>
      </w:rPr>
    </w:lvl>
  </w:abstractNum>
  <w:abstractNum w:abstractNumId="12">
    <w:nsid w:val="ECD4543E"/>
    <w:multiLevelType w:val="singleLevel"/>
    <w:tmpl w:val="ECD4543E"/>
    <w:lvl w:ilvl="0" w:tentative="0">
      <w:start w:val="1"/>
      <w:numFmt w:val="chineseCounting"/>
      <w:suff w:val="nothing"/>
      <w:lvlText w:val="（%1）"/>
      <w:lvlJc w:val="left"/>
      <w:pPr>
        <w:ind w:left="0" w:firstLine="420"/>
      </w:pPr>
      <w:rPr>
        <w:rFonts w:hint="eastAsia"/>
      </w:rPr>
    </w:lvl>
  </w:abstractNum>
  <w:abstractNum w:abstractNumId="13">
    <w:nsid w:val="F0C24108"/>
    <w:multiLevelType w:val="singleLevel"/>
    <w:tmpl w:val="F0C24108"/>
    <w:lvl w:ilvl="0" w:tentative="0">
      <w:start w:val="1"/>
      <w:numFmt w:val="decimal"/>
      <w:lvlText w:val="%1."/>
      <w:lvlJc w:val="left"/>
      <w:pPr>
        <w:ind w:left="425" w:hanging="425"/>
      </w:pPr>
      <w:rPr>
        <w:rFonts w:hint="default"/>
      </w:rPr>
    </w:lvl>
  </w:abstractNum>
  <w:abstractNum w:abstractNumId="14">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15">
    <w:nsid w:val="0359680E"/>
    <w:multiLevelType w:val="singleLevel"/>
    <w:tmpl w:val="0359680E"/>
    <w:lvl w:ilvl="0" w:tentative="0">
      <w:start w:val="1"/>
      <w:numFmt w:val="decimal"/>
      <w:lvlText w:val="%1."/>
      <w:lvlJc w:val="left"/>
      <w:pPr>
        <w:ind w:left="425" w:hanging="425"/>
      </w:pPr>
      <w:rPr>
        <w:rFonts w:hint="default"/>
      </w:rPr>
    </w:lvl>
  </w:abstractNum>
  <w:abstractNum w:abstractNumId="16">
    <w:nsid w:val="0EBA2D82"/>
    <w:multiLevelType w:val="singleLevel"/>
    <w:tmpl w:val="0EBA2D82"/>
    <w:lvl w:ilvl="0" w:tentative="0">
      <w:start w:val="1"/>
      <w:numFmt w:val="chineseCounting"/>
      <w:suff w:val="nothing"/>
      <w:lvlText w:val="（%1）"/>
      <w:lvlJc w:val="left"/>
      <w:pPr>
        <w:ind w:left="0" w:firstLine="420"/>
      </w:pPr>
      <w:rPr>
        <w:rFonts w:hint="eastAsia"/>
      </w:rPr>
    </w:lvl>
  </w:abstractNum>
  <w:abstractNum w:abstractNumId="17">
    <w:nsid w:val="11D37E0D"/>
    <w:multiLevelType w:val="singleLevel"/>
    <w:tmpl w:val="11D37E0D"/>
    <w:lvl w:ilvl="0" w:tentative="0">
      <w:start w:val="1"/>
      <w:numFmt w:val="decimal"/>
      <w:lvlText w:val="%1."/>
      <w:lvlJc w:val="left"/>
      <w:pPr>
        <w:ind w:left="425" w:hanging="425"/>
      </w:pPr>
      <w:rPr>
        <w:rFonts w:hint="default"/>
      </w:rPr>
    </w:lvl>
  </w:abstractNum>
  <w:abstractNum w:abstractNumId="18">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19">
    <w:nsid w:val="23903DED"/>
    <w:multiLevelType w:val="singleLevel"/>
    <w:tmpl w:val="23903DED"/>
    <w:lvl w:ilvl="0" w:tentative="0">
      <w:start w:val="1"/>
      <w:numFmt w:val="decimal"/>
      <w:lvlText w:val="%1."/>
      <w:lvlJc w:val="left"/>
      <w:pPr>
        <w:ind w:left="425" w:hanging="425"/>
      </w:pPr>
      <w:rPr>
        <w:rFonts w:hint="default"/>
      </w:rPr>
    </w:lvl>
  </w:abstractNum>
  <w:abstractNum w:abstractNumId="20">
    <w:nsid w:val="2B2E514B"/>
    <w:multiLevelType w:val="multilevel"/>
    <w:tmpl w:val="2B2E514B"/>
    <w:lvl w:ilvl="0" w:tentative="0">
      <w:start w:val="1"/>
      <w:numFmt w:val="japaneseCounting"/>
      <w:lvlText w:val="（%1）"/>
      <w:lvlJc w:val="left"/>
      <w:pPr>
        <w:ind w:left="1230" w:hanging="75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1">
    <w:nsid w:val="3B7CFF41"/>
    <w:multiLevelType w:val="singleLevel"/>
    <w:tmpl w:val="3B7CFF41"/>
    <w:lvl w:ilvl="0" w:tentative="0">
      <w:start w:val="1"/>
      <w:numFmt w:val="chineseCounting"/>
      <w:suff w:val="nothing"/>
      <w:lvlText w:val="（%1）"/>
      <w:lvlJc w:val="left"/>
      <w:pPr>
        <w:ind w:left="0" w:firstLine="420"/>
      </w:pPr>
      <w:rPr>
        <w:rFonts w:hint="eastAsia"/>
      </w:rPr>
    </w:lvl>
  </w:abstractNum>
  <w:abstractNum w:abstractNumId="22">
    <w:nsid w:val="42063E26"/>
    <w:multiLevelType w:val="singleLevel"/>
    <w:tmpl w:val="42063E26"/>
    <w:lvl w:ilvl="0" w:tentative="0">
      <w:start w:val="1"/>
      <w:numFmt w:val="chineseCounting"/>
      <w:suff w:val="nothing"/>
      <w:lvlText w:val="%1、"/>
      <w:lvlJc w:val="left"/>
      <w:pPr>
        <w:ind w:left="0" w:firstLine="420"/>
      </w:pPr>
      <w:rPr>
        <w:rFonts w:hint="eastAsia"/>
      </w:rPr>
    </w:lvl>
  </w:abstractNum>
  <w:abstractNum w:abstractNumId="23">
    <w:nsid w:val="4C5E9386"/>
    <w:multiLevelType w:val="singleLevel"/>
    <w:tmpl w:val="4C5E9386"/>
    <w:lvl w:ilvl="0" w:tentative="0">
      <w:start w:val="1"/>
      <w:numFmt w:val="decimal"/>
      <w:lvlText w:val="%1."/>
      <w:lvlJc w:val="left"/>
      <w:pPr>
        <w:ind w:left="425" w:hanging="425"/>
      </w:pPr>
      <w:rPr>
        <w:rFonts w:hint="default"/>
      </w:rPr>
    </w:lvl>
  </w:abstractNum>
  <w:abstractNum w:abstractNumId="24">
    <w:nsid w:val="53011500"/>
    <w:multiLevelType w:val="singleLevel"/>
    <w:tmpl w:val="53011500"/>
    <w:lvl w:ilvl="0" w:tentative="0">
      <w:start w:val="1"/>
      <w:numFmt w:val="chineseCounting"/>
      <w:suff w:val="nothing"/>
      <w:lvlText w:val="（%1）"/>
      <w:lvlJc w:val="left"/>
      <w:rPr>
        <w:rFonts w:hint="eastAsia"/>
      </w:rPr>
    </w:lvl>
  </w:abstractNum>
  <w:abstractNum w:abstractNumId="25">
    <w:nsid w:val="639AFF98"/>
    <w:multiLevelType w:val="singleLevel"/>
    <w:tmpl w:val="639AFF98"/>
    <w:lvl w:ilvl="0" w:tentative="0">
      <w:start w:val="1"/>
      <w:numFmt w:val="decimal"/>
      <w:lvlText w:val="%1."/>
      <w:lvlJc w:val="left"/>
      <w:pPr>
        <w:ind w:left="425" w:hanging="425"/>
      </w:pPr>
      <w:rPr>
        <w:rFonts w:hint="default"/>
      </w:rPr>
    </w:lvl>
  </w:abstractNum>
  <w:abstractNum w:abstractNumId="26">
    <w:nsid w:val="63E2F242"/>
    <w:multiLevelType w:val="singleLevel"/>
    <w:tmpl w:val="63E2F242"/>
    <w:lvl w:ilvl="0" w:tentative="0">
      <w:start w:val="1"/>
      <w:numFmt w:val="decimal"/>
      <w:lvlText w:val="(%1)"/>
      <w:lvlJc w:val="left"/>
      <w:pPr>
        <w:ind w:left="454" w:leftChars="0" w:firstLine="396" w:firstLineChars="0"/>
      </w:pPr>
      <w:rPr>
        <w:rFonts w:hint="default"/>
      </w:rPr>
    </w:lvl>
  </w:abstractNum>
  <w:abstractNum w:abstractNumId="27">
    <w:nsid w:val="7EE3FDE4"/>
    <w:multiLevelType w:val="singleLevel"/>
    <w:tmpl w:val="7EE3FDE4"/>
    <w:lvl w:ilvl="0" w:tentative="0">
      <w:start w:val="1"/>
      <w:numFmt w:val="decimal"/>
      <w:lvlText w:val="%1."/>
      <w:lvlJc w:val="left"/>
      <w:pPr>
        <w:ind w:left="425" w:hanging="425"/>
      </w:pPr>
      <w:rPr>
        <w:rFonts w:hint="default"/>
      </w:rPr>
    </w:lvl>
  </w:abstractNum>
  <w:num w:numId="1">
    <w:abstractNumId w:val="22"/>
  </w:num>
  <w:num w:numId="2">
    <w:abstractNumId w:val="24"/>
  </w:num>
  <w:num w:numId="3">
    <w:abstractNumId w:val="3"/>
  </w:num>
  <w:num w:numId="4">
    <w:abstractNumId w:val="5"/>
  </w:num>
  <w:num w:numId="5">
    <w:abstractNumId w:val="6"/>
  </w:num>
  <w:num w:numId="6">
    <w:abstractNumId w:val="21"/>
  </w:num>
  <w:num w:numId="7">
    <w:abstractNumId w:val="7"/>
  </w:num>
  <w:num w:numId="8">
    <w:abstractNumId w:val="18"/>
  </w:num>
  <w:num w:numId="9">
    <w:abstractNumId w:val="9"/>
  </w:num>
  <w:num w:numId="10">
    <w:abstractNumId w:val="14"/>
  </w:num>
  <w:num w:numId="11">
    <w:abstractNumId w:val="12"/>
  </w:num>
  <w:num w:numId="12">
    <w:abstractNumId w:val="16"/>
  </w:num>
  <w:num w:numId="13">
    <w:abstractNumId w:val="2"/>
  </w:num>
  <w:num w:numId="14">
    <w:abstractNumId w:val="1"/>
  </w:num>
  <w:num w:numId="15">
    <w:abstractNumId w:val="26"/>
  </w:num>
  <w:num w:numId="16">
    <w:abstractNumId w:val="19"/>
  </w:num>
  <w:num w:numId="17">
    <w:abstractNumId w:val="10"/>
  </w:num>
  <w:num w:numId="18">
    <w:abstractNumId w:val="27"/>
  </w:num>
  <w:num w:numId="19">
    <w:abstractNumId w:val="11"/>
  </w:num>
  <w:num w:numId="20">
    <w:abstractNumId w:val="20"/>
  </w:num>
  <w:num w:numId="21">
    <w:abstractNumId w:val="8"/>
  </w:num>
  <w:num w:numId="22">
    <w:abstractNumId w:val="4"/>
  </w:num>
  <w:num w:numId="23">
    <w:abstractNumId w:val="23"/>
  </w:num>
  <w:num w:numId="24">
    <w:abstractNumId w:val="15"/>
  </w:num>
  <w:num w:numId="25">
    <w:abstractNumId w:val="13"/>
  </w:num>
  <w:num w:numId="26">
    <w:abstractNumId w:val="0"/>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zNDY1YmU0ZTk4MjdhMzEzNzNiZmMyNTRjNTNiMWIifQ=="/>
  </w:docVars>
  <w:rsids>
    <w:rsidRoot w:val="00BA0C1A"/>
    <w:rsid w:val="0001053D"/>
    <w:rsid w:val="000232DF"/>
    <w:rsid w:val="000331CB"/>
    <w:rsid w:val="00037595"/>
    <w:rsid w:val="0003793F"/>
    <w:rsid w:val="00043659"/>
    <w:rsid w:val="00044578"/>
    <w:rsid w:val="000449C1"/>
    <w:rsid w:val="00050D95"/>
    <w:rsid w:val="00054F4B"/>
    <w:rsid w:val="00056B61"/>
    <w:rsid w:val="0006495B"/>
    <w:rsid w:val="00075600"/>
    <w:rsid w:val="00090C49"/>
    <w:rsid w:val="00091018"/>
    <w:rsid w:val="000917E4"/>
    <w:rsid w:val="000C11BC"/>
    <w:rsid w:val="000C51B7"/>
    <w:rsid w:val="000C51DC"/>
    <w:rsid w:val="000C7F9C"/>
    <w:rsid w:val="000D4BCD"/>
    <w:rsid w:val="000E2969"/>
    <w:rsid w:val="000E32C5"/>
    <w:rsid w:val="000E4413"/>
    <w:rsid w:val="000E55A7"/>
    <w:rsid w:val="000E72FC"/>
    <w:rsid w:val="000F0C0F"/>
    <w:rsid w:val="000F2409"/>
    <w:rsid w:val="001018EC"/>
    <w:rsid w:val="00142422"/>
    <w:rsid w:val="00145238"/>
    <w:rsid w:val="0014651C"/>
    <w:rsid w:val="00147822"/>
    <w:rsid w:val="00153F4E"/>
    <w:rsid w:val="001671CE"/>
    <w:rsid w:val="0018061A"/>
    <w:rsid w:val="001854C1"/>
    <w:rsid w:val="00193B3B"/>
    <w:rsid w:val="001C163F"/>
    <w:rsid w:val="001C26B1"/>
    <w:rsid w:val="001C67B3"/>
    <w:rsid w:val="001D5D08"/>
    <w:rsid w:val="001E35DD"/>
    <w:rsid w:val="001E733A"/>
    <w:rsid w:val="001F3A55"/>
    <w:rsid w:val="0020269A"/>
    <w:rsid w:val="00216EB9"/>
    <w:rsid w:val="00230C75"/>
    <w:rsid w:val="002333D7"/>
    <w:rsid w:val="00240BB2"/>
    <w:rsid w:val="00271B28"/>
    <w:rsid w:val="00286023"/>
    <w:rsid w:val="00292FA7"/>
    <w:rsid w:val="0029496D"/>
    <w:rsid w:val="00295E91"/>
    <w:rsid w:val="002A4A73"/>
    <w:rsid w:val="002A6F62"/>
    <w:rsid w:val="002C7221"/>
    <w:rsid w:val="002D3B46"/>
    <w:rsid w:val="002E6D32"/>
    <w:rsid w:val="002E6DED"/>
    <w:rsid w:val="00301BF1"/>
    <w:rsid w:val="003060E3"/>
    <w:rsid w:val="00313EAD"/>
    <w:rsid w:val="003150D0"/>
    <w:rsid w:val="003170DA"/>
    <w:rsid w:val="00320018"/>
    <w:rsid w:val="003222A2"/>
    <w:rsid w:val="0032529D"/>
    <w:rsid w:val="00334E98"/>
    <w:rsid w:val="00337C15"/>
    <w:rsid w:val="00340145"/>
    <w:rsid w:val="0036290E"/>
    <w:rsid w:val="00363F9C"/>
    <w:rsid w:val="00383486"/>
    <w:rsid w:val="00395347"/>
    <w:rsid w:val="003A5AF2"/>
    <w:rsid w:val="003E15AC"/>
    <w:rsid w:val="003F4A9B"/>
    <w:rsid w:val="003F5A5C"/>
    <w:rsid w:val="004006DE"/>
    <w:rsid w:val="00403EFB"/>
    <w:rsid w:val="00407CC0"/>
    <w:rsid w:val="00416880"/>
    <w:rsid w:val="0042096A"/>
    <w:rsid w:val="00431D6F"/>
    <w:rsid w:val="00435F37"/>
    <w:rsid w:val="00436F99"/>
    <w:rsid w:val="004419BA"/>
    <w:rsid w:val="0049668A"/>
    <w:rsid w:val="004A604E"/>
    <w:rsid w:val="004B08CE"/>
    <w:rsid w:val="004B1533"/>
    <w:rsid w:val="004B7E0E"/>
    <w:rsid w:val="004C3EC8"/>
    <w:rsid w:val="004E3F73"/>
    <w:rsid w:val="004E7833"/>
    <w:rsid w:val="004F0308"/>
    <w:rsid w:val="004F0DC7"/>
    <w:rsid w:val="00500325"/>
    <w:rsid w:val="00503D53"/>
    <w:rsid w:val="00512A85"/>
    <w:rsid w:val="00514940"/>
    <w:rsid w:val="00514C94"/>
    <w:rsid w:val="00520EDF"/>
    <w:rsid w:val="00530918"/>
    <w:rsid w:val="00546FD8"/>
    <w:rsid w:val="00556AB2"/>
    <w:rsid w:val="005572A2"/>
    <w:rsid w:val="00561E64"/>
    <w:rsid w:val="0057172B"/>
    <w:rsid w:val="00583C3B"/>
    <w:rsid w:val="00591F83"/>
    <w:rsid w:val="00594A9C"/>
    <w:rsid w:val="0059531B"/>
    <w:rsid w:val="005A61B6"/>
    <w:rsid w:val="005B4756"/>
    <w:rsid w:val="005E42D8"/>
    <w:rsid w:val="005F2063"/>
    <w:rsid w:val="005F5A12"/>
    <w:rsid w:val="005F6EA5"/>
    <w:rsid w:val="0060490E"/>
    <w:rsid w:val="00616505"/>
    <w:rsid w:val="0062213C"/>
    <w:rsid w:val="00627AB6"/>
    <w:rsid w:val="00633F40"/>
    <w:rsid w:val="00636591"/>
    <w:rsid w:val="006549AD"/>
    <w:rsid w:val="00661ABE"/>
    <w:rsid w:val="00662A11"/>
    <w:rsid w:val="00672049"/>
    <w:rsid w:val="00673ECB"/>
    <w:rsid w:val="00684D9C"/>
    <w:rsid w:val="006A0EFF"/>
    <w:rsid w:val="006B3B05"/>
    <w:rsid w:val="006B4696"/>
    <w:rsid w:val="006B71FF"/>
    <w:rsid w:val="006C0A9A"/>
    <w:rsid w:val="006D144D"/>
    <w:rsid w:val="006D1A59"/>
    <w:rsid w:val="006F36E4"/>
    <w:rsid w:val="006F400A"/>
    <w:rsid w:val="00701122"/>
    <w:rsid w:val="00702557"/>
    <w:rsid w:val="0070776D"/>
    <w:rsid w:val="00713D56"/>
    <w:rsid w:val="0072017F"/>
    <w:rsid w:val="007235C6"/>
    <w:rsid w:val="00726F5C"/>
    <w:rsid w:val="00741FA1"/>
    <w:rsid w:val="007677DF"/>
    <w:rsid w:val="0077412E"/>
    <w:rsid w:val="00775ADC"/>
    <w:rsid w:val="00782636"/>
    <w:rsid w:val="007B5CA7"/>
    <w:rsid w:val="007B6886"/>
    <w:rsid w:val="007C7013"/>
    <w:rsid w:val="007D1027"/>
    <w:rsid w:val="007F0139"/>
    <w:rsid w:val="007F211A"/>
    <w:rsid w:val="007F31F5"/>
    <w:rsid w:val="00835B6D"/>
    <w:rsid w:val="00836466"/>
    <w:rsid w:val="008442F6"/>
    <w:rsid w:val="00845216"/>
    <w:rsid w:val="00851DC6"/>
    <w:rsid w:val="00854377"/>
    <w:rsid w:val="008572E5"/>
    <w:rsid w:val="008769B5"/>
    <w:rsid w:val="00877969"/>
    <w:rsid w:val="00890DFE"/>
    <w:rsid w:val="00893F11"/>
    <w:rsid w:val="00895A39"/>
    <w:rsid w:val="008B27BB"/>
    <w:rsid w:val="008B7325"/>
    <w:rsid w:val="008C7BF2"/>
    <w:rsid w:val="008F4A5E"/>
    <w:rsid w:val="0090216F"/>
    <w:rsid w:val="00914F4C"/>
    <w:rsid w:val="00932940"/>
    <w:rsid w:val="00941595"/>
    <w:rsid w:val="00944126"/>
    <w:rsid w:val="00945679"/>
    <w:rsid w:val="009572E8"/>
    <w:rsid w:val="00960335"/>
    <w:rsid w:val="009603FB"/>
    <w:rsid w:val="00980264"/>
    <w:rsid w:val="00981B9A"/>
    <w:rsid w:val="00990128"/>
    <w:rsid w:val="0099083D"/>
    <w:rsid w:val="009B6E9F"/>
    <w:rsid w:val="009B72BE"/>
    <w:rsid w:val="009C1498"/>
    <w:rsid w:val="009D0187"/>
    <w:rsid w:val="009F2152"/>
    <w:rsid w:val="00A00344"/>
    <w:rsid w:val="00A1290A"/>
    <w:rsid w:val="00A25635"/>
    <w:rsid w:val="00A26CA4"/>
    <w:rsid w:val="00A31644"/>
    <w:rsid w:val="00A34940"/>
    <w:rsid w:val="00A564C5"/>
    <w:rsid w:val="00A57837"/>
    <w:rsid w:val="00A60633"/>
    <w:rsid w:val="00A71E53"/>
    <w:rsid w:val="00A72636"/>
    <w:rsid w:val="00A76C06"/>
    <w:rsid w:val="00A927D4"/>
    <w:rsid w:val="00AA119D"/>
    <w:rsid w:val="00AA1727"/>
    <w:rsid w:val="00AA6705"/>
    <w:rsid w:val="00AB086B"/>
    <w:rsid w:val="00AC3EB8"/>
    <w:rsid w:val="00AD3090"/>
    <w:rsid w:val="00AE6E21"/>
    <w:rsid w:val="00B051F8"/>
    <w:rsid w:val="00B05F79"/>
    <w:rsid w:val="00B07BEF"/>
    <w:rsid w:val="00B13271"/>
    <w:rsid w:val="00B23983"/>
    <w:rsid w:val="00B24E8C"/>
    <w:rsid w:val="00B27A4D"/>
    <w:rsid w:val="00B37548"/>
    <w:rsid w:val="00B403F7"/>
    <w:rsid w:val="00B62701"/>
    <w:rsid w:val="00B66638"/>
    <w:rsid w:val="00B85699"/>
    <w:rsid w:val="00B86073"/>
    <w:rsid w:val="00B972EA"/>
    <w:rsid w:val="00BA0C1A"/>
    <w:rsid w:val="00BB5FAF"/>
    <w:rsid w:val="00BB7D2E"/>
    <w:rsid w:val="00BC2A28"/>
    <w:rsid w:val="00BC39B0"/>
    <w:rsid w:val="00BC52CC"/>
    <w:rsid w:val="00BE6FAA"/>
    <w:rsid w:val="00BF4E37"/>
    <w:rsid w:val="00C061CB"/>
    <w:rsid w:val="00C07AAB"/>
    <w:rsid w:val="00C1191F"/>
    <w:rsid w:val="00C13421"/>
    <w:rsid w:val="00C15680"/>
    <w:rsid w:val="00C20FC2"/>
    <w:rsid w:val="00C3614E"/>
    <w:rsid w:val="00C46DE3"/>
    <w:rsid w:val="00C53D1D"/>
    <w:rsid w:val="00C546F5"/>
    <w:rsid w:val="00C56E0E"/>
    <w:rsid w:val="00C604EC"/>
    <w:rsid w:val="00C763B2"/>
    <w:rsid w:val="00C94890"/>
    <w:rsid w:val="00CB264D"/>
    <w:rsid w:val="00CB66EE"/>
    <w:rsid w:val="00CC48A8"/>
    <w:rsid w:val="00CC54B5"/>
    <w:rsid w:val="00CD0113"/>
    <w:rsid w:val="00CD5612"/>
    <w:rsid w:val="00CE0588"/>
    <w:rsid w:val="00CE5D01"/>
    <w:rsid w:val="00CE66F5"/>
    <w:rsid w:val="00D02D02"/>
    <w:rsid w:val="00D23AF8"/>
    <w:rsid w:val="00D6016A"/>
    <w:rsid w:val="00D633FE"/>
    <w:rsid w:val="00D80192"/>
    <w:rsid w:val="00D84F9D"/>
    <w:rsid w:val="00DA311E"/>
    <w:rsid w:val="00DA4C57"/>
    <w:rsid w:val="00DA572C"/>
    <w:rsid w:val="00DB0159"/>
    <w:rsid w:val="00DB300A"/>
    <w:rsid w:val="00DB424B"/>
    <w:rsid w:val="00DC4CD8"/>
    <w:rsid w:val="00DD068C"/>
    <w:rsid w:val="00DD44D8"/>
    <w:rsid w:val="00DF2D57"/>
    <w:rsid w:val="00E11EA4"/>
    <w:rsid w:val="00E14D3C"/>
    <w:rsid w:val="00E21388"/>
    <w:rsid w:val="00E26251"/>
    <w:rsid w:val="00E30244"/>
    <w:rsid w:val="00E31955"/>
    <w:rsid w:val="00E33721"/>
    <w:rsid w:val="00E362F6"/>
    <w:rsid w:val="00E56260"/>
    <w:rsid w:val="00E6702C"/>
    <w:rsid w:val="00E71C8C"/>
    <w:rsid w:val="00E8095F"/>
    <w:rsid w:val="00EA0AF5"/>
    <w:rsid w:val="00EA1EE8"/>
    <w:rsid w:val="00EA68EB"/>
    <w:rsid w:val="00EB2EDE"/>
    <w:rsid w:val="00EB50C6"/>
    <w:rsid w:val="00EB54AA"/>
    <w:rsid w:val="00ED5F69"/>
    <w:rsid w:val="00EE4FE5"/>
    <w:rsid w:val="00EF3393"/>
    <w:rsid w:val="00F072DB"/>
    <w:rsid w:val="00F108D7"/>
    <w:rsid w:val="00F31099"/>
    <w:rsid w:val="00F33422"/>
    <w:rsid w:val="00F445BF"/>
    <w:rsid w:val="00F44EDC"/>
    <w:rsid w:val="00F53662"/>
    <w:rsid w:val="00F574F2"/>
    <w:rsid w:val="00F61C4F"/>
    <w:rsid w:val="00F628A4"/>
    <w:rsid w:val="00F77E65"/>
    <w:rsid w:val="00F8297B"/>
    <w:rsid w:val="00F848FD"/>
    <w:rsid w:val="00F85D5C"/>
    <w:rsid w:val="00F900D6"/>
    <w:rsid w:val="00F927BC"/>
    <w:rsid w:val="00F949C7"/>
    <w:rsid w:val="00FB7304"/>
    <w:rsid w:val="00FC235D"/>
    <w:rsid w:val="00FD5B0A"/>
    <w:rsid w:val="00FE4B45"/>
    <w:rsid w:val="00FE4DCE"/>
    <w:rsid w:val="00FF5752"/>
    <w:rsid w:val="00FF7BDE"/>
    <w:rsid w:val="00FF7C1B"/>
    <w:rsid w:val="01682857"/>
    <w:rsid w:val="01E416F9"/>
    <w:rsid w:val="01E714F3"/>
    <w:rsid w:val="027F210E"/>
    <w:rsid w:val="02C46E9B"/>
    <w:rsid w:val="03353F95"/>
    <w:rsid w:val="0360728C"/>
    <w:rsid w:val="03644DF5"/>
    <w:rsid w:val="037C24AB"/>
    <w:rsid w:val="03835300"/>
    <w:rsid w:val="03D34FB2"/>
    <w:rsid w:val="045917B5"/>
    <w:rsid w:val="045F3901"/>
    <w:rsid w:val="04822F8C"/>
    <w:rsid w:val="05084B7F"/>
    <w:rsid w:val="0574734C"/>
    <w:rsid w:val="060E577E"/>
    <w:rsid w:val="06310D02"/>
    <w:rsid w:val="07D022B7"/>
    <w:rsid w:val="083D07F0"/>
    <w:rsid w:val="088F0165"/>
    <w:rsid w:val="08B07E37"/>
    <w:rsid w:val="08B43195"/>
    <w:rsid w:val="08BF77BF"/>
    <w:rsid w:val="092204A0"/>
    <w:rsid w:val="094E716D"/>
    <w:rsid w:val="0A236A7B"/>
    <w:rsid w:val="0A9104B3"/>
    <w:rsid w:val="0B3219A6"/>
    <w:rsid w:val="0B42122A"/>
    <w:rsid w:val="0B804D80"/>
    <w:rsid w:val="0BA15D5D"/>
    <w:rsid w:val="0BB05F19"/>
    <w:rsid w:val="0BB72600"/>
    <w:rsid w:val="0C59339A"/>
    <w:rsid w:val="0CE20565"/>
    <w:rsid w:val="0E7B4249"/>
    <w:rsid w:val="0EB46EAE"/>
    <w:rsid w:val="0EBF4416"/>
    <w:rsid w:val="0EDC775F"/>
    <w:rsid w:val="0FC249CD"/>
    <w:rsid w:val="101C4699"/>
    <w:rsid w:val="105E3B74"/>
    <w:rsid w:val="109C610C"/>
    <w:rsid w:val="109E0A4B"/>
    <w:rsid w:val="10E842E1"/>
    <w:rsid w:val="110E0867"/>
    <w:rsid w:val="112151CA"/>
    <w:rsid w:val="112319C7"/>
    <w:rsid w:val="114F02E3"/>
    <w:rsid w:val="11C968D8"/>
    <w:rsid w:val="11E859D0"/>
    <w:rsid w:val="125A49E2"/>
    <w:rsid w:val="12655F9A"/>
    <w:rsid w:val="129029BA"/>
    <w:rsid w:val="12C52F1E"/>
    <w:rsid w:val="13662AE3"/>
    <w:rsid w:val="13D70317"/>
    <w:rsid w:val="14083614"/>
    <w:rsid w:val="14A41919"/>
    <w:rsid w:val="14DD6B7B"/>
    <w:rsid w:val="14F651A4"/>
    <w:rsid w:val="1513630B"/>
    <w:rsid w:val="15170225"/>
    <w:rsid w:val="15790F62"/>
    <w:rsid w:val="15BE19C2"/>
    <w:rsid w:val="170C4CC1"/>
    <w:rsid w:val="17CB24DD"/>
    <w:rsid w:val="17EF03F0"/>
    <w:rsid w:val="1921359D"/>
    <w:rsid w:val="19654ABE"/>
    <w:rsid w:val="1975728E"/>
    <w:rsid w:val="19995137"/>
    <w:rsid w:val="19ED3EF9"/>
    <w:rsid w:val="1A42248D"/>
    <w:rsid w:val="1AE05C20"/>
    <w:rsid w:val="1B0518D6"/>
    <w:rsid w:val="1BA05605"/>
    <w:rsid w:val="1BA76F0E"/>
    <w:rsid w:val="1BF40868"/>
    <w:rsid w:val="1C2B4079"/>
    <w:rsid w:val="1C2C4424"/>
    <w:rsid w:val="1CC926C9"/>
    <w:rsid w:val="1CD54CE6"/>
    <w:rsid w:val="1D4A3138"/>
    <w:rsid w:val="1DEC38DC"/>
    <w:rsid w:val="1E162E53"/>
    <w:rsid w:val="1E7B1006"/>
    <w:rsid w:val="1EC21BFC"/>
    <w:rsid w:val="1ED9508B"/>
    <w:rsid w:val="1F1C1907"/>
    <w:rsid w:val="1F325605"/>
    <w:rsid w:val="1FF62945"/>
    <w:rsid w:val="20794DDC"/>
    <w:rsid w:val="20960394"/>
    <w:rsid w:val="20AE49C3"/>
    <w:rsid w:val="220C23B7"/>
    <w:rsid w:val="22781FD8"/>
    <w:rsid w:val="2316084E"/>
    <w:rsid w:val="233C1B10"/>
    <w:rsid w:val="23753454"/>
    <w:rsid w:val="23CC5043"/>
    <w:rsid w:val="23FC238F"/>
    <w:rsid w:val="2466118E"/>
    <w:rsid w:val="248E1190"/>
    <w:rsid w:val="250A30F4"/>
    <w:rsid w:val="2519703D"/>
    <w:rsid w:val="251B719E"/>
    <w:rsid w:val="25323B9B"/>
    <w:rsid w:val="255D5AE4"/>
    <w:rsid w:val="25A35D07"/>
    <w:rsid w:val="262A60AF"/>
    <w:rsid w:val="268708FA"/>
    <w:rsid w:val="26BD5864"/>
    <w:rsid w:val="26C550E1"/>
    <w:rsid w:val="26D57F52"/>
    <w:rsid w:val="27045C42"/>
    <w:rsid w:val="2706073F"/>
    <w:rsid w:val="271D6F3F"/>
    <w:rsid w:val="27644686"/>
    <w:rsid w:val="27C747D2"/>
    <w:rsid w:val="28771CFA"/>
    <w:rsid w:val="28BC1266"/>
    <w:rsid w:val="28D50CBB"/>
    <w:rsid w:val="28DE01D1"/>
    <w:rsid w:val="28F34EAC"/>
    <w:rsid w:val="29644E9A"/>
    <w:rsid w:val="296A3295"/>
    <w:rsid w:val="29C32C55"/>
    <w:rsid w:val="2ACC7058"/>
    <w:rsid w:val="2B0F1914"/>
    <w:rsid w:val="2B205170"/>
    <w:rsid w:val="2BD45DEC"/>
    <w:rsid w:val="2C550C29"/>
    <w:rsid w:val="2CA25104"/>
    <w:rsid w:val="2CFE7A0F"/>
    <w:rsid w:val="2D966088"/>
    <w:rsid w:val="2DD32AAB"/>
    <w:rsid w:val="2E422BEB"/>
    <w:rsid w:val="2EE51A67"/>
    <w:rsid w:val="2EF2392F"/>
    <w:rsid w:val="2F065880"/>
    <w:rsid w:val="2F3F66A2"/>
    <w:rsid w:val="2F4C41FD"/>
    <w:rsid w:val="2F9B5EB2"/>
    <w:rsid w:val="2FB105F0"/>
    <w:rsid w:val="30456175"/>
    <w:rsid w:val="31134F38"/>
    <w:rsid w:val="31CE79AF"/>
    <w:rsid w:val="332056B3"/>
    <w:rsid w:val="33C449D1"/>
    <w:rsid w:val="33E376EB"/>
    <w:rsid w:val="33FB012A"/>
    <w:rsid w:val="34534FE7"/>
    <w:rsid w:val="34C95801"/>
    <w:rsid w:val="350E2C3D"/>
    <w:rsid w:val="353707C5"/>
    <w:rsid w:val="365A5309"/>
    <w:rsid w:val="366EE088"/>
    <w:rsid w:val="36772279"/>
    <w:rsid w:val="37584CFA"/>
    <w:rsid w:val="37F57050"/>
    <w:rsid w:val="38633E11"/>
    <w:rsid w:val="386A4389"/>
    <w:rsid w:val="388A5906"/>
    <w:rsid w:val="38906158"/>
    <w:rsid w:val="3934142D"/>
    <w:rsid w:val="396A1892"/>
    <w:rsid w:val="3A080C5F"/>
    <w:rsid w:val="3ABF15FC"/>
    <w:rsid w:val="3ACB145B"/>
    <w:rsid w:val="3AE35294"/>
    <w:rsid w:val="3B1936FA"/>
    <w:rsid w:val="3B371C7D"/>
    <w:rsid w:val="3B620D49"/>
    <w:rsid w:val="3B670554"/>
    <w:rsid w:val="3B98086C"/>
    <w:rsid w:val="3B9B2203"/>
    <w:rsid w:val="3C8F6AAC"/>
    <w:rsid w:val="3C9103DA"/>
    <w:rsid w:val="3C9C4163"/>
    <w:rsid w:val="3CD61480"/>
    <w:rsid w:val="3CDB255C"/>
    <w:rsid w:val="3D1D283B"/>
    <w:rsid w:val="3D47663E"/>
    <w:rsid w:val="3D8A65CC"/>
    <w:rsid w:val="3D9810AD"/>
    <w:rsid w:val="3DCC03A3"/>
    <w:rsid w:val="3E2F05C0"/>
    <w:rsid w:val="3EA559A5"/>
    <w:rsid w:val="3EB74556"/>
    <w:rsid w:val="3F911FE1"/>
    <w:rsid w:val="3FBC40AA"/>
    <w:rsid w:val="3FC95D22"/>
    <w:rsid w:val="41493E67"/>
    <w:rsid w:val="41723E5F"/>
    <w:rsid w:val="417267B4"/>
    <w:rsid w:val="41F9358F"/>
    <w:rsid w:val="420351C4"/>
    <w:rsid w:val="42F31B1A"/>
    <w:rsid w:val="434067C1"/>
    <w:rsid w:val="4385675D"/>
    <w:rsid w:val="438A5BDB"/>
    <w:rsid w:val="43F15D89"/>
    <w:rsid w:val="440D792D"/>
    <w:rsid w:val="442B201A"/>
    <w:rsid w:val="444613C0"/>
    <w:rsid w:val="44507DF8"/>
    <w:rsid w:val="44C47447"/>
    <w:rsid w:val="44CB55AC"/>
    <w:rsid w:val="45073F19"/>
    <w:rsid w:val="45102DF6"/>
    <w:rsid w:val="45BE7A1E"/>
    <w:rsid w:val="46C1098E"/>
    <w:rsid w:val="47486A4D"/>
    <w:rsid w:val="478947BF"/>
    <w:rsid w:val="478F31BC"/>
    <w:rsid w:val="47F77399"/>
    <w:rsid w:val="487C618C"/>
    <w:rsid w:val="488A4DC4"/>
    <w:rsid w:val="48BC2BE1"/>
    <w:rsid w:val="48BE2DA5"/>
    <w:rsid w:val="48D4224E"/>
    <w:rsid w:val="48E361AC"/>
    <w:rsid w:val="49235269"/>
    <w:rsid w:val="495F5280"/>
    <w:rsid w:val="49CD4037"/>
    <w:rsid w:val="4A1154D4"/>
    <w:rsid w:val="4A370ADD"/>
    <w:rsid w:val="4A476C5E"/>
    <w:rsid w:val="4A761654"/>
    <w:rsid w:val="4AA27D8E"/>
    <w:rsid w:val="4AA8103B"/>
    <w:rsid w:val="4ACE608A"/>
    <w:rsid w:val="4AD01ABC"/>
    <w:rsid w:val="4AF64625"/>
    <w:rsid w:val="4C695E9E"/>
    <w:rsid w:val="4C8D73D7"/>
    <w:rsid w:val="4CBD5D81"/>
    <w:rsid w:val="4D4D61D7"/>
    <w:rsid w:val="4D730760"/>
    <w:rsid w:val="4DEB47C9"/>
    <w:rsid w:val="4DEE7CEC"/>
    <w:rsid w:val="4E2D45D1"/>
    <w:rsid w:val="4E36520B"/>
    <w:rsid w:val="4E3B74FF"/>
    <w:rsid w:val="4E5539C7"/>
    <w:rsid w:val="4F2552AC"/>
    <w:rsid w:val="4F5B05C2"/>
    <w:rsid w:val="4F9BCB6F"/>
    <w:rsid w:val="4FC56399"/>
    <w:rsid w:val="4FE27CB1"/>
    <w:rsid w:val="4FFC205C"/>
    <w:rsid w:val="4FFE4A87"/>
    <w:rsid w:val="501F49FD"/>
    <w:rsid w:val="50496DBD"/>
    <w:rsid w:val="50BB2402"/>
    <w:rsid w:val="512E3B10"/>
    <w:rsid w:val="514D0B72"/>
    <w:rsid w:val="518302A5"/>
    <w:rsid w:val="51E9455E"/>
    <w:rsid w:val="525C32BB"/>
    <w:rsid w:val="528E7C6D"/>
    <w:rsid w:val="52B764F2"/>
    <w:rsid w:val="52CE7751"/>
    <w:rsid w:val="52F52E0D"/>
    <w:rsid w:val="53045928"/>
    <w:rsid w:val="53696D9D"/>
    <w:rsid w:val="536B2150"/>
    <w:rsid w:val="537961FA"/>
    <w:rsid w:val="53B27F93"/>
    <w:rsid w:val="543C409E"/>
    <w:rsid w:val="55387AB6"/>
    <w:rsid w:val="5548690A"/>
    <w:rsid w:val="55A037FB"/>
    <w:rsid w:val="55C14502"/>
    <w:rsid w:val="55CB3EA0"/>
    <w:rsid w:val="55D97A72"/>
    <w:rsid w:val="564E13F4"/>
    <w:rsid w:val="568D20C3"/>
    <w:rsid w:val="56FF8D91"/>
    <w:rsid w:val="572A38C5"/>
    <w:rsid w:val="583F1391"/>
    <w:rsid w:val="58A10752"/>
    <w:rsid w:val="59305A2A"/>
    <w:rsid w:val="59A74CA3"/>
    <w:rsid w:val="5A2D2B43"/>
    <w:rsid w:val="5AC11E86"/>
    <w:rsid w:val="5AC21076"/>
    <w:rsid w:val="5B441F0D"/>
    <w:rsid w:val="5B4F17A8"/>
    <w:rsid w:val="5C6B1A70"/>
    <w:rsid w:val="5C985D92"/>
    <w:rsid w:val="5CC95B0E"/>
    <w:rsid w:val="5CF4494D"/>
    <w:rsid w:val="5D4E4D70"/>
    <w:rsid w:val="5DBD6DC7"/>
    <w:rsid w:val="5DC107B9"/>
    <w:rsid w:val="5DDE2964"/>
    <w:rsid w:val="5DF54723"/>
    <w:rsid w:val="5DF6496E"/>
    <w:rsid w:val="5E012B5C"/>
    <w:rsid w:val="5E572D57"/>
    <w:rsid w:val="5E7A7E9C"/>
    <w:rsid w:val="5EB91BB3"/>
    <w:rsid w:val="5FADBF39"/>
    <w:rsid w:val="5FE61FD9"/>
    <w:rsid w:val="60387B6E"/>
    <w:rsid w:val="611C1FDB"/>
    <w:rsid w:val="611E0439"/>
    <w:rsid w:val="617059E9"/>
    <w:rsid w:val="61FB1A66"/>
    <w:rsid w:val="622B4587"/>
    <w:rsid w:val="630C2BBF"/>
    <w:rsid w:val="63364E41"/>
    <w:rsid w:val="6376330A"/>
    <w:rsid w:val="63A27E52"/>
    <w:rsid w:val="640B0E82"/>
    <w:rsid w:val="64404CEE"/>
    <w:rsid w:val="644C4D24"/>
    <w:rsid w:val="64795739"/>
    <w:rsid w:val="648D67C9"/>
    <w:rsid w:val="6554331A"/>
    <w:rsid w:val="65A77008"/>
    <w:rsid w:val="667D508A"/>
    <w:rsid w:val="669D63C0"/>
    <w:rsid w:val="66C54B51"/>
    <w:rsid w:val="671F4D55"/>
    <w:rsid w:val="673E4168"/>
    <w:rsid w:val="67411C66"/>
    <w:rsid w:val="67440BE0"/>
    <w:rsid w:val="67E941F6"/>
    <w:rsid w:val="684D735A"/>
    <w:rsid w:val="685E2BCC"/>
    <w:rsid w:val="68D8169E"/>
    <w:rsid w:val="69090499"/>
    <w:rsid w:val="691C6588"/>
    <w:rsid w:val="69274705"/>
    <w:rsid w:val="6A1069DC"/>
    <w:rsid w:val="6AA514ED"/>
    <w:rsid w:val="6AF45531"/>
    <w:rsid w:val="6B0F26A5"/>
    <w:rsid w:val="6BC41113"/>
    <w:rsid w:val="6C3971A6"/>
    <w:rsid w:val="6C7C21CA"/>
    <w:rsid w:val="6C956912"/>
    <w:rsid w:val="6D21195D"/>
    <w:rsid w:val="6D412B91"/>
    <w:rsid w:val="6DA5042D"/>
    <w:rsid w:val="6E082D4D"/>
    <w:rsid w:val="6E2979C4"/>
    <w:rsid w:val="6EAF13B0"/>
    <w:rsid w:val="6F385C65"/>
    <w:rsid w:val="6F4F2DBA"/>
    <w:rsid w:val="6F9A08AE"/>
    <w:rsid w:val="6FB12101"/>
    <w:rsid w:val="70B07280"/>
    <w:rsid w:val="70C87533"/>
    <w:rsid w:val="710474E6"/>
    <w:rsid w:val="71061E72"/>
    <w:rsid w:val="716D12FF"/>
    <w:rsid w:val="71B86A9F"/>
    <w:rsid w:val="71C4021B"/>
    <w:rsid w:val="724C6668"/>
    <w:rsid w:val="72581BE7"/>
    <w:rsid w:val="72672472"/>
    <w:rsid w:val="727A5896"/>
    <w:rsid w:val="73107C53"/>
    <w:rsid w:val="732E67CC"/>
    <w:rsid w:val="733C3CDB"/>
    <w:rsid w:val="73637BD0"/>
    <w:rsid w:val="737F09FB"/>
    <w:rsid w:val="73AE7738"/>
    <w:rsid w:val="73C04CC8"/>
    <w:rsid w:val="73E3143F"/>
    <w:rsid w:val="742F45B2"/>
    <w:rsid w:val="743A1B26"/>
    <w:rsid w:val="746972C3"/>
    <w:rsid w:val="747133CF"/>
    <w:rsid w:val="757B2D20"/>
    <w:rsid w:val="757C71DC"/>
    <w:rsid w:val="75C02236"/>
    <w:rsid w:val="75C865C8"/>
    <w:rsid w:val="75D61E17"/>
    <w:rsid w:val="761A518A"/>
    <w:rsid w:val="76366B17"/>
    <w:rsid w:val="76BA0548"/>
    <w:rsid w:val="76FC53B5"/>
    <w:rsid w:val="770F4EC5"/>
    <w:rsid w:val="775571D3"/>
    <w:rsid w:val="79555E50"/>
    <w:rsid w:val="79B901F8"/>
    <w:rsid w:val="79F67C8B"/>
    <w:rsid w:val="7A3B2499"/>
    <w:rsid w:val="7A756315"/>
    <w:rsid w:val="7AA94F5B"/>
    <w:rsid w:val="7ACA0A0C"/>
    <w:rsid w:val="7B050760"/>
    <w:rsid w:val="7B40532A"/>
    <w:rsid w:val="7B6C4111"/>
    <w:rsid w:val="7BC21706"/>
    <w:rsid w:val="7BE3559E"/>
    <w:rsid w:val="7BFE2866"/>
    <w:rsid w:val="7C355B65"/>
    <w:rsid w:val="7C9A0880"/>
    <w:rsid w:val="7CC77EFC"/>
    <w:rsid w:val="7CCD4DC8"/>
    <w:rsid w:val="7CDA1E79"/>
    <w:rsid w:val="7D58270A"/>
    <w:rsid w:val="7DC72BC2"/>
    <w:rsid w:val="7DEE575E"/>
    <w:rsid w:val="7E252A23"/>
    <w:rsid w:val="7E5C6EF1"/>
    <w:rsid w:val="7EDE6911"/>
    <w:rsid w:val="7F0303D7"/>
    <w:rsid w:val="7F0C13A8"/>
    <w:rsid w:val="7F3F3AF6"/>
    <w:rsid w:val="7F4D3A45"/>
    <w:rsid w:val="7F8F45C6"/>
    <w:rsid w:val="7FD70056"/>
    <w:rsid w:val="7FEFDEFF"/>
    <w:rsid w:val="B35DF1BD"/>
    <w:rsid w:val="B62F4124"/>
    <w:rsid w:val="B7DE7756"/>
    <w:rsid w:val="BFDCF0EE"/>
    <w:rsid w:val="C17F5494"/>
    <w:rsid w:val="CAFFA099"/>
    <w:rsid w:val="D3D5B37F"/>
    <w:rsid w:val="D5D713BB"/>
    <w:rsid w:val="DF7F0C3E"/>
    <w:rsid w:val="DFC7B93B"/>
    <w:rsid w:val="DFF716EB"/>
    <w:rsid w:val="E7D594EA"/>
    <w:rsid w:val="EFED2241"/>
    <w:rsid w:val="F2FABFA3"/>
    <w:rsid w:val="F6FB1F22"/>
    <w:rsid w:val="F6FDE4A7"/>
    <w:rsid w:val="F7AC8864"/>
    <w:rsid w:val="FEEE8919"/>
    <w:rsid w:val="FFB8587E"/>
    <w:rsid w:val="FFBDE929"/>
    <w:rsid w:val="FFD9E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unhideWhenUsed/>
    <w:qFormat/>
    <w:uiPriority w:val="9"/>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4">
    <w:name w:val="heading 5"/>
    <w:basedOn w:val="1"/>
    <w:next w:val="1"/>
    <w:link w:val="29"/>
    <w:semiHidden/>
    <w:unhideWhenUsed/>
    <w:qFormat/>
    <w:uiPriority w:val="9"/>
    <w:pPr>
      <w:keepNext/>
      <w:keepLines/>
      <w:spacing w:before="280" w:after="290" w:line="376" w:lineRule="auto"/>
      <w:outlineLvl w:val="4"/>
    </w:pPr>
    <w:rPr>
      <w:b/>
      <w:bCs/>
      <w:sz w:val="28"/>
      <w:szCs w:val="28"/>
    </w:rPr>
  </w:style>
  <w:style w:type="paragraph" w:styleId="5">
    <w:name w:val="heading 6"/>
    <w:basedOn w:val="1"/>
    <w:next w:val="1"/>
    <w:link w:val="3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6">
    <w:name w:val="heading 7"/>
    <w:basedOn w:val="1"/>
    <w:next w:val="1"/>
    <w:link w:val="31"/>
    <w:semiHidden/>
    <w:unhideWhenUsed/>
    <w:qFormat/>
    <w:uiPriority w:val="9"/>
    <w:pPr>
      <w:keepNext/>
      <w:keepLines/>
      <w:spacing w:before="240" w:after="64" w:line="320" w:lineRule="auto"/>
      <w:outlineLvl w:val="6"/>
    </w:pPr>
    <w:rPr>
      <w:b/>
      <w:bCs/>
      <w:sz w:val="24"/>
      <w:szCs w:val="24"/>
    </w:rPr>
  </w:style>
  <w:style w:type="paragraph" w:styleId="7">
    <w:name w:val="heading 8"/>
    <w:basedOn w:val="1"/>
    <w:next w:val="1"/>
    <w:link w:val="32"/>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9"/>
    <w:unhideWhenUsed/>
    <w:qFormat/>
    <w:uiPriority w:val="0"/>
    <w:pPr>
      <w:jc w:val="left"/>
    </w:pPr>
  </w:style>
  <w:style w:type="paragraph" w:styleId="9">
    <w:name w:val="Body Text"/>
    <w:basedOn w:val="1"/>
    <w:link w:val="33"/>
    <w:semiHidden/>
    <w:unhideWhenUsed/>
    <w:qFormat/>
    <w:uiPriority w:val="1"/>
    <w:pPr>
      <w:spacing w:after="120"/>
    </w:pPr>
    <w:rPr>
      <w:rFonts w:ascii="Calibri" w:hAnsi="Calibri" w:eastAsia="宋体" w:cs="Times New Roman"/>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26"/>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paragraph" w:styleId="16">
    <w:name w:val="annotation subject"/>
    <w:basedOn w:val="8"/>
    <w:next w:val="8"/>
    <w:link w:val="41"/>
    <w:semiHidden/>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semiHidden/>
    <w:unhideWhenUsed/>
    <w:qFormat/>
    <w:uiPriority w:val="99"/>
    <w:rPr>
      <w:color w:val="0000FF"/>
      <w:u w:val="single"/>
    </w:rPr>
  </w:style>
  <w:style w:type="character" w:styleId="22">
    <w:name w:val="annotation reference"/>
    <w:basedOn w:val="19"/>
    <w:unhideWhenUsed/>
    <w:qFormat/>
    <w:uiPriority w:val="0"/>
    <w:rPr>
      <w:sz w:val="21"/>
      <w:szCs w:val="21"/>
    </w:rPr>
  </w:style>
  <w:style w:type="character" w:customStyle="1" w:styleId="23">
    <w:name w:val="页眉 字符"/>
    <w:basedOn w:val="19"/>
    <w:link w:val="13"/>
    <w:semiHidden/>
    <w:qFormat/>
    <w:uiPriority w:val="99"/>
    <w:rPr>
      <w:sz w:val="18"/>
      <w:szCs w:val="18"/>
    </w:rPr>
  </w:style>
  <w:style w:type="character" w:customStyle="1" w:styleId="24">
    <w:name w:val="页脚 字符"/>
    <w:basedOn w:val="19"/>
    <w:link w:val="12"/>
    <w:qFormat/>
    <w:uiPriority w:val="99"/>
    <w:rPr>
      <w:sz w:val="18"/>
      <w:szCs w:val="18"/>
    </w:rPr>
  </w:style>
  <w:style w:type="paragraph" w:styleId="25">
    <w:name w:val="List Paragraph"/>
    <w:basedOn w:val="1"/>
    <w:qFormat/>
    <w:uiPriority w:val="1"/>
    <w:pPr>
      <w:ind w:firstLine="420" w:firstLineChars="200"/>
    </w:pPr>
  </w:style>
  <w:style w:type="character" w:customStyle="1" w:styleId="26">
    <w:name w:val="批注框文本 字符"/>
    <w:basedOn w:val="19"/>
    <w:link w:val="11"/>
    <w:semiHidden/>
    <w:qFormat/>
    <w:uiPriority w:val="99"/>
    <w:rPr>
      <w:kern w:val="2"/>
      <w:sz w:val="18"/>
      <w:szCs w:val="18"/>
    </w:rPr>
  </w:style>
  <w:style w:type="character" w:customStyle="1" w:styleId="27">
    <w:name w:val="日期 字符"/>
    <w:basedOn w:val="19"/>
    <w:link w:val="10"/>
    <w:semiHidden/>
    <w:qFormat/>
    <w:uiPriority w:val="99"/>
    <w:rPr>
      <w:kern w:val="2"/>
      <w:sz w:val="21"/>
      <w:szCs w:val="22"/>
    </w:rPr>
  </w:style>
  <w:style w:type="paragraph" w:customStyle="1" w:styleId="28">
    <w:name w:val="Normal_4"/>
    <w:qFormat/>
    <w:uiPriority w:val="0"/>
    <w:rPr>
      <w:rFonts w:ascii="宋体" w:hAnsi="宋体" w:eastAsia="宋体" w:cs="宋体"/>
      <w:sz w:val="24"/>
      <w:szCs w:val="24"/>
      <w:lang w:val="en-US" w:eastAsia="zh-CN" w:bidi="ar-SA"/>
    </w:rPr>
  </w:style>
  <w:style w:type="character" w:customStyle="1" w:styleId="29">
    <w:name w:val="标题 5 字符"/>
    <w:basedOn w:val="19"/>
    <w:link w:val="4"/>
    <w:semiHidden/>
    <w:qFormat/>
    <w:uiPriority w:val="9"/>
    <w:rPr>
      <w:b/>
      <w:bCs/>
      <w:kern w:val="2"/>
      <w:sz w:val="28"/>
      <w:szCs w:val="28"/>
    </w:rPr>
  </w:style>
  <w:style w:type="character" w:customStyle="1" w:styleId="30">
    <w:name w:val="标题 6 字符"/>
    <w:basedOn w:val="19"/>
    <w:link w:val="5"/>
    <w:semiHidden/>
    <w:qFormat/>
    <w:uiPriority w:val="9"/>
    <w:rPr>
      <w:rFonts w:asciiTheme="majorHAnsi" w:hAnsiTheme="majorHAnsi" w:eastAsiaTheme="majorEastAsia" w:cstheme="majorBidi"/>
      <w:b/>
      <w:bCs/>
      <w:kern w:val="2"/>
      <w:sz w:val="24"/>
      <w:szCs w:val="24"/>
    </w:rPr>
  </w:style>
  <w:style w:type="character" w:customStyle="1" w:styleId="31">
    <w:name w:val="标题 7 字符"/>
    <w:basedOn w:val="19"/>
    <w:link w:val="6"/>
    <w:semiHidden/>
    <w:qFormat/>
    <w:uiPriority w:val="9"/>
    <w:rPr>
      <w:b/>
      <w:bCs/>
      <w:kern w:val="2"/>
      <w:sz w:val="24"/>
      <w:szCs w:val="24"/>
    </w:rPr>
  </w:style>
  <w:style w:type="character" w:customStyle="1" w:styleId="32">
    <w:name w:val="标题 8 字符"/>
    <w:basedOn w:val="19"/>
    <w:link w:val="7"/>
    <w:semiHidden/>
    <w:qFormat/>
    <w:uiPriority w:val="9"/>
    <w:rPr>
      <w:rFonts w:asciiTheme="majorHAnsi" w:hAnsiTheme="majorHAnsi" w:eastAsiaTheme="majorEastAsia" w:cstheme="majorBidi"/>
      <w:kern w:val="2"/>
      <w:sz w:val="24"/>
      <w:szCs w:val="24"/>
    </w:rPr>
  </w:style>
  <w:style w:type="character" w:customStyle="1" w:styleId="33">
    <w:name w:val="正文文本 字符"/>
    <w:basedOn w:val="19"/>
    <w:link w:val="9"/>
    <w:semiHidden/>
    <w:qFormat/>
    <w:uiPriority w:val="1"/>
    <w:rPr>
      <w:rFonts w:ascii="Calibri" w:hAnsi="Calibri" w:eastAsia="宋体" w:cs="Times New Roman"/>
      <w:kern w:val="2"/>
      <w:sz w:val="21"/>
      <w:szCs w:val="22"/>
    </w:rPr>
  </w:style>
  <w:style w:type="paragraph" w:customStyle="1" w:styleId="34">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35">
    <w:name w:val="列表段落1"/>
    <w:basedOn w:val="1"/>
    <w:qFormat/>
    <w:uiPriority w:val="1"/>
    <w:rPr>
      <w:rFonts w:ascii="Calibri" w:hAnsi="Calibri" w:eastAsia="宋体" w:cs="Times New Roman"/>
      <w:sz w:val="24"/>
    </w:rPr>
  </w:style>
  <w:style w:type="paragraph" w:customStyle="1" w:styleId="36">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列出段落2"/>
    <w:basedOn w:val="1"/>
    <w:qFormat/>
    <w:uiPriority w:val="99"/>
    <w:pPr>
      <w:ind w:firstLine="420" w:firstLineChars="200"/>
    </w:pPr>
    <w:rPr>
      <w:rFonts w:ascii="Times New Roman" w:hAnsi="Times New Roman" w:eastAsia="宋体" w:cs="Times New Roman"/>
      <w:szCs w:val="21"/>
    </w:rPr>
  </w:style>
  <w:style w:type="character" w:customStyle="1" w:styleId="39">
    <w:name w:val="批注文字 字符"/>
    <w:basedOn w:val="19"/>
    <w:link w:val="8"/>
    <w:qFormat/>
    <w:uiPriority w:val="0"/>
    <w:rPr>
      <w:kern w:val="2"/>
      <w:sz w:val="21"/>
      <w:szCs w:val="22"/>
    </w:rPr>
  </w:style>
  <w:style w:type="paragraph" w:customStyle="1" w:styleId="40">
    <w:name w:val="列出段落1"/>
    <w:basedOn w:val="1"/>
    <w:qFormat/>
    <w:uiPriority w:val="34"/>
    <w:pPr>
      <w:ind w:firstLine="420" w:firstLineChars="200"/>
    </w:pPr>
    <w:rPr>
      <w:rFonts w:ascii="Calibri" w:hAnsi="Calibri" w:eastAsia="宋体" w:cs="Times New Roman"/>
    </w:rPr>
  </w:style>
  <w:style w:type="character" w:customStyle="1" w:styleId="41">
    <w:name w:val="批注主题 字符"/>
    <w:basedOn w:val="39"/>
    <w:link w:val="16"/>
    <w:semiHidden/>
    <w:qFormat/>
    <w:uiPriority w:val="99"/>
    <w:rPr>
      <w:b/>
      <w:bCs/>
      <w:kern w:val="2"/>
      <w:sz w:val="21"/>
      <w:szCs w:val="22"/>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font41"/>
    <w:basedOn w:val="19"/>
    <w:qFormat/>
    <w:uiPriority w:val="0"/>
    <w:rPr>
      <w:rFonts w:hint="eastAsia" w:ascii="宋体" w:hAnsi="宋体" w:eastAsia="宋体" w:cs="宋体"/>
      <w:color w:val="000000"/>
      <w:sz w:val="22"/>
      <w:szCs w:val="22"/>
      <w:u w:val="none"/>
    </w:rPr>
  </w:style>
  <w:style w:type="character" w:customStyle="1" w:styleId="45">
    <w:name w:val="font51"/>
    <w:basedOn w:val="1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10103</Words>
  <Characters>10449</Characters>
  <Lines>61</Lines>
  <Paragraphs>17</Paragraphs>
  <TotalTime>4</TotalTime>
  <ScaleCrop>false</ScaleCrop>
  <LinksUpToDate>false</LinksUpToDate>
  <CharactersWithSpaces>10574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2021-12-29T06:31:00Z</dcterms:created>
  <dc:creator>Tencent</dc:creator>
  <cp:lastModifiedBy>陈星光</cp:lastModifiedBy>
  <dcterms:modified xsi:type="dcterms:W3CDTF">2025-11-06T01:04:49Z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4A8A15D91B35477D8CA445904D82D915_13</vt:lpwstr>
  </property>
  <property fmtid="{D5CDD505-2E9C-101B-9397-08002B2CF9AE}" pid="4" name="KSOTemplateDocerSaveRecord">
    <vt:lpwstr>eyJoZGlkIjoiNDMyYTNhNTk4OGNjYmRkNjNiNGI3MmM5M2I0M2E0M2EiLCJ1c2VySWQiOiIxNjYyOTYxNzIwIn0=</vt:lpwstr>
  </property>
</Properties>
</file>