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F6A27">
      <w:pPr>
        <w:snapToGrid w:val="0"/>
        <w:jc w:val="center"/>
        <w:outlineLvl w:val="0"/>
        <w:rPr>
          <w:rFonts w:hint="eastAsia" w:ascii="微软雅黑" w:hAnsi="微软雅黑" w:eastAsia="微软雅黑"/>
          <w:color w:val="000000" w:themeColor="text1"/>
          <w:sz w:val="22"/>
          <w:highlight w:val="none"/>
          <w14:textFill>
            <w14:solidFill>
              <w14:schemeClr w14:val="tx1"/>
            </w14:solidFill>
          </w14:textFill>
        </w:rPr>
      </w:pPr>
      <w:r>
        <w:rPr>
          <w:rFonts w:ascii="宋体" w:hAnsi="宋体" w:eastAsia="宋体"/>
          <w:b/>
          <w:bCs/>
          <w:color w:val="000000" w:themeColor="text1"/>
          <w:sz w:val="44"/>
          <w:szCs w:val="44"/>
          <w:highlight w:val="none"/>
          <w14:textFill>
            <w14:solidFill>
              <w14:schemeClr w14:val="tx1"/>
            </w14:solidFill>
          </w14:textFill>
        </w:rPr>
        <w:t>投标邀请函</w:t>
      </w:r>
    </w:p>
    <w:p w14:paraId="797B6B76">
      <w:pPr>
        <w:snapToGrid w:val="0"/>
        <w:rPr>
          <w:rFonts w:hint="eastAsia" w:ascii="微软雅黑" w:hAnsi="微软雅黑" w:eastAsia="微软雅黑"/>
          <w:color w:val="000000" w:themeColor="text1"/>
          <w:sz w:val="22"/>
          <w:highlight w:val="none"/>
          <w14:textFill>
            <w14:solidFill>
              <w14:schemeClr w14:val="tx1"/>
            </w14:solidFill>
          </w14:textFill>
        </w:rPr>
      </w:pPr>
    </w:p>
    <w:p w14:paraId="7B966101">
      <w:pPr>
        <w:snapToGrid w:val="0"/>
        <w:spacing w:line="560" w:lineRule="exact"/>
        <w:rPr>
          <w:rFonts w:hint="eastAsia" w:ascii="微软雅黑" w:hAnsi="微软雅黑" w:eastAsia="微软雅黑"/>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致：</w:t>
      </w:r>
      <w:r>
        <w:rPr>
          <w:rFonts w:ascii="仿宋" w:hAnsi="仿宋" w:eastAsia="仿宋"/>
          <w:color w:val="000000" w:themeColor="text1"/>
          <w:sz w:val="28"/>
          <w:szCs w:val="28"/>
          <w:highlight w:val="none"/>
          <w:u w:val="single"/>
          <w14:textFill>
            <w14:solidFill>
              <w14:schemeClr w14:val="tx1"/>
            </w14:solidFill>
          </w14:textFill>
        </w:rPr>
        <w:t>各投标人</w:t>
      </w:r>
    </w:p>
    <w:p w14:paraId="2A3D5B96">
      <w:pPr>
        <w:snapToGrid w:val="0"/>
        <w:spacing w:line="560" w:lineRule="exact"/>
        <w:ind w:firstLine="560" w:firstLineChars="200"/>
        <w:rPr>
          <w:rFonts w:hint="eastAsia" w:ascii="微软雅黑" w:hAnsi="微软雅黑" w:eastAsia="微软雅黑"/>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我公司就</w:t>
      </w:r>
      <w:r>
        <w:rPr>
          <w:rFonts w:hint="eastAsia" w:ascii="仿宋" w:hAnsi="仿宋" w:eastAsia="仿宋"/>
          <w:color w:val="000000" w:themeColor="text1"/>
          <w:sz w:val="28"/>
          <w:szCs w:val="28"/>
          <w:highlight w:val="none"/>
          <w:u w:val="single"/>
          <w14:textFill>
            <w14:solidFill>
              <w14:schemeClr w14:val="tx1"/>
            </w14:solidFill>
          </w14:textFill>
        </w:rPr>
        <w:t>中天综合楼质量提升项目（室内装修工程）</w:t>
      </w:r>
      <w:r>
        <w:rPr>
          <w:rFonts w:ascii="仿宋" w:hAnsi="仿宋" w:eastAsia="仿宋"/>
          <w:color w:val="000000" w:themeColor="text1"/>
          <w:sz w:val="28"/>
          <w:szCs w:val="28"/>
          <w:highlight w:val="none"/>
          <w14:textFill>
            <w14:solidFill>
              <w14:schemeClr w14:val="tx1"/>
            </w14:solidFill>
          </w14:textFill>
        </w:rPr>
        <w:t>的邀请招标，现邀请你单位参加。</w:t>
      </w:r>
    </w:p>
    <w:p w14:paraId="0C1B9942">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项目概况</w:t>
      </w:r>
    </w:p>
    <w:p w14:paraId="51A2EB33">
      <w:p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本项目位于深圳市罗湖区翠竹街道</w:t>
      </w:r>
      <w:r>
        <w:rPr>
          <w:rFonts w:hint="eastAsia" w:ascii="仿宋" w:hAnsi="仿宋" w:eastAsia="仿宋" w:cs="仿宋"/>
          <w:color w:val="000000" w:themeColor="text1"/>
          <w:sz w:val="28"/>
          <w:szCs w:val="28"/>
          <w:highlight w:val="none"/>
          <w:lang w:val="en-US" w:eastAsia="zh-CN"/>
          <w14:textFill>
            <w14:solidFill>
              <w14:schemeClr w14:val="tx1"/>
            </w14:solidFill>
          </w14:textFill>
        </w:rPr>
        <w:t>中天综合楼</w:t>
      </w:r>
      <w:r>
        <w:rPr>
          <w:rFonts w:hint="eastAsia" w:ascii="仿宋" w:hAnsi="仿宋" w:eastAsia="仿宋" w:cs="仿宋"/>
          <w:color w:val="000000" w:themeColor="text1"/>
          <w:sz w:val="28"/>
          <w:szCs w:val="28"/>
          <w:highlight w:val="none"/>
          <w14:textFill>
            <w14:solidFill>
              <w14:schemeClr w14:val="tx1"/>
            </w14:solidFill>
          </w14:textFill>
        </w:rPr>
        <w:t>，装修范围为</w:t>
      </w:r>
      <w:r>
        <w:rPr>
          <w:rFonts w:hint="eastAsia" w:ascii="仿宋" w:hAnsi="仿宋" w:eastAsia="仿宋" w:cs="仿宋"/>
          <w:color w:val="000000" w:themeColor="text1"/>
          <w:sz w:val="28"/>
          <w:szCs w:val="28"/>
          <w:highlight w:val="none"/>
          <w:lang w:val="en-US" w:eastAsia="zh-CN"/>
          <w14:textFill>
            <w14:solidFill>
              <w14:schemeClr w14:val="tx1"/>
            </w14:solidFill>
          </w14:textFill>
        </w:rPr>
        <w:t>中天综合楼五层六层的25间房间</w:t>
      </w:r>
      <w:r>
        <w:rPr>
          <w:rFonts w:hint="eastAsia" w:ascii="仿宋" w:hAnsi="仿宋" w:eastAsia="仿宋" w:cs="仿宋"/>
          <w:color w:val="000000" w:themeColor="text1"/>
          <w:sz w:val="28"/>
          <w:szCs w:val="28"/>
          <w:highlight w:val="none"/>
          <w14:textFill>
            <w14:solidFill>
              <w14:schemeClr w14:val="tx1"/>
            </w14:solidFill>
          </w14:textFill>
        </w:rPr>
        <w:t>重新装修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建筑面积约903㎡，装修</w:t>
      </w:r>
      <w:r>
        <w:rPr>
          <w:rFonts w:hint="eastAsia" w:ascii="仿宋" w:hAnsi="仿宋" w:eastAsia="仿宋" w:cs="仿宋"/>
          <w:color w:val="000000" w:themeColor="text1"/>
          <w:sz w:val="28"/>
          <w:szCs w:val="28"/>
          <w:highlight w:val="none"/>
          <w14:textFill>
            <w14:solidFill>
              <w14:schemeClr w14:val="tx1"/>
            </w14:solidFill>
          </w14:textFill>
        </w:rPr>
        <w:t>面积约</w:t>
      </w:r>
      <w:r>
        <w:rPr>
          <w:rFonts w:hint="eastAsia" w:ascii="仿宋" w:hAnsi="仿宋" w:eastAsia="仿宋"/>
          <w:color w:val="000000" w:themeColor="text1"/>
          <w:sz w:val="28"/>
          <w:szCs w:val="28"/>
          <w:highlight w:val="none"/>
          <w:lang w:val="en-US" w:eastAsia="zh-CN"/>
          <w14:textFill>
            <w14:solidFill>
              <w14:schemeClr w14:val="tx1"/>
            </w14:solidFill>
          </w14:textFill>
        </w:rPr>
        <w:t>756.45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以及局部走道及电梯厅装修（范围详见图纸）</w:t>
      </w:r>
      <w:r>
        <w:rPr>
          <w:rFonts w:hint="eastAsia" w:ascii="仿宋" w:hAnsi="仿宋" w:eastAsia="仿宋"/>
          <w:color w:val="000000" w:themeColor="text1"/>
          <w:sz w:val="28"/>
          <w:szCs w:val="28"/>
          <w:highlight w:val="none"/>
          <w14:textFill>
            <w14:solidFill>
              <w14:schemeClr w14:val="tx1"/>
            </w14:solidFill>
          </w14:textFill>
        </w:rPr>
        <w:t>。</w:t>
      </w:r>
    </w:p>
    <w:p w14:paraId="30E3B245">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招标内容</w:t>
      </w:r>
    </w:p>
    <w:p w14:paraId="26ACB206">
      <w:pPr>
        <w:snapToGrid w:val="0"/>
        <w:spacing w:line="560" w:lineRule="exact"/>
        <w:ind w:firstLine="560" w:firstLineChars="200"/>
        <w:rPr>
          <w:rFonts w:hint="eastAsia" w:ascii="仿宋" w:hAnsi="仿宋" w:eastAsia="仿宋"/>
          <w:color w:val="000000" w:themeColor="text1"/>
          <w:sz w:val="28"/>
          <w:szCs w:val="28"/>
          <w:highlight w:val="none"/>
          <w:u w:val="none"/>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中天综合楼质量提升项目（室内装修工程）</w:t>
      </w:r>
      <w:r>
        <w:rPr>
          <w:rFonts w:ascii="仿宋" w:hAnsi="仿宋" w:eastAsia="仿宋"/>
          <w:color w:val="000000" w:themeColor="text1"/>
          <w:sz w:val="28"/>
          <w:szCs w:val="28"/>
          <w:highlight w:val="none"/>
          <w:u w:val="none"/>
          <w14:textFill>
            <w14:solidFill>
              <w14:schemeClr w14:val="tx1"/>
            </w14:solidFill>
          </w14:textFill>
        </w:rPr>
        <w:t>包括但不限于：</w:t>
      </w:r>
      <w:r>
        <w:rPr>
          <w:rFonts w:hint="eastAsia" w:ascii="仿宋" w:hAnsi="仿宋" w:eastAsia="仿宋"/>
          <w:color w:val="000000" w:themeColor="text1"/>
          <w:sz w:val="28"/>
          <w:szCs w:val="28"/>
          <w:highlight w:val="none"/>
          <w14:textFill>
            <w14:solidFill>
              <w14:schemeClr w14:val="tx1"/>
            </w14:solidFill>
          </w14:textFill>
        </w:rPr>
        <w:t>场地围护</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ascii="仿宋" w:hAnsi="仿宋" w:eastAsia="仿宋"/>
          <w:color w:val="000000" w:themeColor="text1"/>
          <w:sz w:val="28"/>
          <w:szCs w:val="28"/>
          <w:highlight w:val="none"/>
          <w:u w:val="none"/>
          <w14:textFill>
            <w14:solidFill>
              <w14:schemeClr w14:val="tx1"/>
            </w14:solidFill>
          </w14:textFill>
        </w:rPr>
        <w:t>设计图纸范围的所有施工内容，建筑改造工程、机电安装工程（含弱电智能化）、</w:t>
      </w:r>
      <w:r>
        <w:rPr>
          <w:rFonts w:hint="eastAsia" w:ascii="仿宋" w:hAnsi="仿宋" w:eastAsia="仿宋"/>
          <w:color w:val="000000" w:themeColor="text1"/>
          <w:sz w:val="28"/>
          <w:szCs w:val="28"/>
          <w:highlight w:val="none"/>
          <w:u w:val="none"/>
          <w:lang w:val="en-US" w:eastAsia="zh-CN"/>
          <w14:textFill>
            <w14:solidFill>
              <w14:schemeClr w14:val="tx1"/>
            </w14:solidFill>
          </w14:textFill>
        </w:rPr>
        <w:t>消防工程、</w:t>
      </w:r>
      <w:r>
        <w:rPr>
          <w:rFonts w:hint="eastAsia" w:ascii="仿宋" w:hAnsi="仿宋" w:eastAsia="仿宋"/>
          <w:color w:val="000000" w:themeColor="text1"/>
          <w:sz w:val="28"/>
          <w:szCs w:val="28"/>
          <w:highlight w:val="none"/>
          <w:u w:val="none"/>
          <w14:textFill>
            <w14:solidFill>
              <w14:schemeClr w14:val="tx1"/>
            </w14:solidFill>
          </w14:textFill>
        </w:rPr>
        <w:t>防水补漏施工、</w:t>
      </w:r>
      <w:r>
        <w:rPr>
          <w:rFonts w:ascii="仿宋" w:hAnsi="仿宋" w:eastAsia="仿宋"/>
          <w:color w:val="000000" w:themeColor="text1"/>
          <w:sz w:val="28"/>
          <w:szCs w:val="28"/>
          <w:highlight w:val="none"/>
          <w:u w:val="none"/>
          <w14:textFill>
            <w14:solidFill>
              <w14:schemeClr w14:val="tx1"/>
            </w14:solidFill>
          </w14:textFill>
        </w:rPr>
        <w:t>拆除工程以及其他工程等。负责办理装修工程相关手续的报批报建；负责办理工程竣工验收</w:t>
      </w:r>
      <w:r>
        <w:rPr>
          <w:rFonts w:hint="eastAsia" w:ascii="仿宋" w:hAnsi="仿宋" w:eastAsia="仿宋"/>
          <w:color w:val="000000" w:themeColor="text1"/>
          <w:sz w:val="28"/>
          <w:szCs w:val="28"/>
          <w:highlight w:val="none"/>
          <w:u w:val="none"/>
          <w14:textFill>
            <w14:solidFill>
              <w14:schemeClr w14:val="tx1"/>
            </w14:solidFill>
          </w14:textFill>
        </w:rPr>
        <w:t>等</w:t>
      </w:r>
      <w:r>
        <w:rPr>
          <w:rFonts w:ascii="仿宋" w:hAnsi="仿宋" w:eastAsia="仿宋"/>
          <w:color w:val="000000" w:themeColor="text1"/>
          <w:sz w:val="28"/>
          <w:szCs w:val="28"/>
          <w:highlight w:val="none"/>
          <w:u w:val="none"/>
          <w14:textFill>
            <w14:solidFill>
              <w14:schemeClr w14:val="tx1"/>
            </w14:solidFill>
          </w14:textFill>
        </w:rPr>
        <w:t>。具体范围详见招标图纸、</w:t>
      </w:r>
      <w:r>
        <w:rPr>
          <w:rFonts w:hint="eastAsia" w:ascii="仿宋" w:hAnsi="仿宋" w:eastAsia="仿宋"/>
          <w:color w:val="000000" w:themeColor="text1"/>
          <w:sz w:val="28"/>
          <w:szCs w:val="28"/>
          <w:highlight w:val="none"/>
          <w:u w:val="none"/>
          <w14:textFill>
            <w14:solidFill>
              <w14:schemeClr w14:val="tx1"/>
            </w14:solidFill>
          </w14:textFill>
        </w:rPr>
        <w:t>招标</w:t>
      </w:r>
      <w:r>
        <w:rPr>
          <w:rFonts w:ascii="仿宋" w:hAnsi="仿宋" w:eastAsia="仿宋"/>
          <w:color w:val="000000" w:themeColor="text1"/>
          <w:sz w:val="28"/>
          <w:szCs w:val="28"/>
          <w:highlight w:val="none"/>
          <w:u w:val="none"/>
          <w14:textFill>
            <w14:solidFill>
              <w14:schemeClr w14:val="tx1"/>
            </w14:solidFill>
          </w14:textFill>
        </w:rPr>
        <w:t>清单和技术要求(最终以发包人下发的纸质盖章版施工蓝图为准)</w:t>
      </w:r>
      <w:r>
        <w:rPr>
          <w:rFonts w:hint="eastAsia" w:ascii="仿宋" w:hAnsi="仿宋" w:eastAsia="仿宋"/>
          <w:color w:val="000000" w:themeColor="text1"/>
          <w:sz w:val="28"/>
          <w:szCs w:val="28"/>
          <w:highlight w:val="none"/>
          <w:u w:val="none"/>
          <w14:textFill>
            <w14:solidFill>
              <w14:schemeClr w14:val="tx1"/>
            </w14:solidFill>
          </w14:textFill>
        </w:rPr>
        <w:t>。</w:t>
      </w:r>
    </w:p>
    <w:p w14:paraId="154915FF">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u w:val="none"/>
          <w14:textFill>
            <w14:solidFill>
              <w14:schemeClr w14:val="tx1"/>
            </w14:solidFill>
          </w14:textFill>
        </w:rPr>
      </w:pPr>
      <w:r>
        <w:rPr>
          <w:rFonts w:hint="eastAsia" w:ascii="黑体" w:hAnsi="黑体" w:eastAsia="黑体" w:cs="黑体"/>
          <w:b/>
          <w:bCs/>
          <w:color w:val="000000" w:themeColor="text1"/>
          <w:sz w:val="30"/>
          <w:szCs w:val="30"/>
          <w:highlight w:val="none"/>
          <w:u w:val="none"/>
          <w14:textFill>
            <w14:solidFill>
              <w14:schemeClr w14:val="tx1"/>
            </w14:solidFill>
          </w14:textFill>
        </w:rPr>
        <w:t>承包方式</w:t>
      </w:r>
    </w:p>
    <w:p w14:paraId="0855E3A5">
      <w:pPr>
        <w:snapToGrid w:val="0"/>
        <w:spacing w:line="560" w:lineRule="exact"/>
        <w:ind w:firstLine="560" w:firstLineChars="200"/>
        <w:rPr>
          <w:rFonts w:hint="eastAsia" w:ascii="仿宋" w:hAnsi="仿宋" w:eastAsia="仿宋"/>
          <w:color w:val="000000" w:themeColor="text1"/>
          <w:sz w:val="28"/>
          <w:szCs w:val="28"/>
          <w:highlight w:val="none"/>
          <w:u w:val="none"/>
          <w14:textFill>
            <w14:solidFill>
              <w14:schemeClr w14:val="tx1"/>
            </w14:solidFill>
          </w14:textFill>
        </w:rPr>
      </w:pPr>
      <w:r>
        <w:rPr>
          <w:rFonts w:ascii="仿宋" w:hAnsi="仿宋" w:eastAsia="仿宋"/>
          <w:color w:val="000000" w:themeColor="text1"/>
          <w:sz w:val="28"/>
          <w:szCs w:val="28"/>
          <w:highlight w:val="none"/>
          <w:u w:val="none"/>
          <w14:textFill>
            <w14:solidFill>
              <w14:schemeClr w14:val="tx1"/>
            </w14:solidFill>
          </w14:textFill>
        </w:rPr>
        <w:t>本工程由承包人包工、包料、包机械、包工期、包质量、包安全、包拆卸、包文明施工、包用工培训、包施工措施、包垃圾清运、</w:t>
      </w:r>
      <w:r>
        <w:rPr>
          <w:rFonts w:hint="eastAsia" w:ascii="仿宋" w:hAnsi="仿宋" w:eastAsia="仿宋"/>
          <w:color w:val="000000" w:themeColor="text1"/>
          <w:sz w:val="28"/>
          <w:szCs w:val="28"/>
          <w:highlight w:val="none"/>
          <w:u w:val="none"/>
          <w14:textFill>
            <w14:solidFill>
              <w14:schemeClr w14:val="tx1"/>
            </w14:solidFill>
          </w14:textFill>
        </w:rPr>
        <w:t>包报批报建手续、</w:t>
      </w:r>
      <w:r>
        <w:rPr>
          <w:rFonts w:ascii="仿宋" w:hAnsi="仿宋" w:eastAsia="仿宋"/>
          <w:color w:val="000000" w:themeColor="text1"/>
          <w:sz w:val="28"/>
          <w:szCs w:val="28"/>
          <w:highlight w:val="none"/>
          <w:u w:val="none"/>
          <w14:textFill>
            <w14:solidFill>
              <w14:schemeClr w14:val="tx1"/>
            </w14:solidFill>
          </w14:textFill>
        </w:rPr>
        <w:t>包竣工验收、包环境质量检测</w:t>
      </w:r>
      <w:r>
        <w:rPr>
          <w:rFonts w:hint="eastAsia" w:ascii="仿宋" w:hAnsi="仿宋" w:eastAsia="仿宋"/>
          <w:color w:val="000000" w:themeColor="text1"/>
          <w:sz w:val="28"/>
          <w:szCs w:val="28"/>
          <w:highlight w:val="none"/>
          <w:u w:val="none"/>
          <w14:textFill>
            <w14:solidFill>
              <w14:schemeClr w14:val="tx1"/>
            </w14:solidFill>
          </w14:textFill>
        </w:rPr>
        <w:t>、</w:t>
      </w:r>
      <w:r>
        <w:rPr>
          <w:rFonts w:ascii="仿宋" w:hAnsi="仿宋" w:eastAsia="仿宋"/>
          <w:color w:val="000000" w:themeColor="text1"/>
          <w:sz w:val="28"/>
          <w:szCs w:val="28"/>
          <w:highlight w:val="none"/>
          <w:u w:val="none"/>
          <w14:textFill>
            <w14:solidFill>
              <w14:schemeClr w14:val="tx1"/>
            </w14:solidFill>
          </w14:textFill>
        </w:rPr>
        <w:t>包保险、包税费、包保修等承包人为履行本合同义务所需的所有费用</w:t>
      </w:r>
      <w:r>
        <w:rPr>
          <w:rFonts w:hint="eastAsia" w:ascii="仿宋" w:hAnsi="仿宋" w:eastAsia="仿宋"/>
          <w:color w:val="000000" w:themeColor="text1"/>
          <w:sz w:val="28"/>
          <w:szCs w:val="28"/>
          <w:highlight w:val="none"/>
          <w:u w:val="none"/>
          <w14:textFill>
            <w14:solidFill>
              <w14:schemeClr w14:val="tx1"/>
            </w14:solidFill>
          </w14:textFill>
        </w:rPr>
        <w:t>。</w:t>
      </w:r>
    </w:p>
    <w:p w14:paraId="00B54B77">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支付方式</w:t>
      </w:r>
    </w:p>
    <w:p w14:paraId="3B01F5F3">
      <w:pPr>
        <w:numPr>
          <w:ilvl w:val="0"/>
          <w:numId w:val="2"/>
        </w:numPr>
        <w:snapToGrid w:val="0"/>
        <w:spacing w:line="560" w:lineRule="exact"/>
        <w:ind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发包人</w:t>
      </w:r>
      <w:r>
        <w:rPr>
          <w:rFonts w:hint="eastAsia" w:ascii="仿宋" w:hAnsi="仿宋" w:eastAsia="仿宋"/>
          <w:color w:val="000000" w:themeColor="text1"/>
          <w:sz w:val="28"/>
          <w:szCs w:val="28"/>
          <w:highlight w:val="none"/>
          <w14:textFill>
            <w14:solidFill>
              <w14:schemeClr w14:val="tx1"/>
            </w14:solidFill>
          </w14:textFill>
        </w:rPr>
        <w:t>下发书面开工通知或开工令</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收到承包人合格的发票后15</w:t>
      </w:r>
      <w:r>
        <w:rPr>
          <w:rFonts w:hint="eastAsia" w:ascii="仿宋" w:hAnsi="仿宋" w:eastAsia="仿宋"/>
          <w:color w:val="000000" w:themeColor="text1"/>
          <w:sz w:val="28"/>
          <w:szCs w:val="28"/>
          <w:highlight w:val="none"/>
          <w14:textFill>
            <w14:solidFill>
              <w14:schemeClr w14:val="tx1"/>
            </w14:solidFill>
          </w14:textFill>
        </w:rPr>
        <w:t>个工作日内，</w:t>
      </w:r>
      <w:r>
        <w:rPr>
          <w:rFonts w:hint="eastAsia" w:ascii="仿宋" w:hAnsi="仿宋" w:eastAsia="仿宋"/>
          <w:color w:val="000000" w:themeColor="text1"/>
          <w:sz w:val="28"/>
          <w:szCs w:val="28"/>
          <w:highlight w:val="none"/>
          <w:lang w:val="en-US" w:eastAsia="zh-CN"/>
          <w14:textFill>
            <w14:solidFill>
              <w14:schemeClr w14:val="tx1"/>
            </w14:solidFill>
          </w14:textFill>
        </w:rPr>
        <w:t>支付</w:t>
      </w:r>
      <w:r>
        <w:rPr>
          <w:rFonts w:hint="eastAsia" w:ascii="仿宋" w:hAnsi="仿宋" w:eastAsia="仿宋"/>
          <w:color w:val="000000" w:themeColor="text1"/>
          <w:sz w:val="28"/>
          <w:szCs w:val="28"/>
          <w:highlight w:val="none"/>
          <w14:textFill>
            <w14:solidFill>
              <w14:schemeClr w14:val="tx1"/>
            </w14:solidFill>
          </w14:textFill>
        </w:rPr>
        <w:t>合同价（扣除暂列金）的</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w:t>
      </w:r>
    </w:p>
    <w:p w14:paraId="3417D849">
      <w:pPr>
        <w:numPr>
          <w:ilvl w:val="0"/>
          <w:numId w:val="2"/>
        </w:numPr>
        <w:snapToGrid w:val="0"/>
        <w:spacing w:line="560" w:lineRule="exact"/>
        <w:ind w:firstLineChars="15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进度款按月支付，支付已完工程审核造价的85%</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但</w:t>
      </w:r>
      <w:r>
        <w:rPr>
          <w:rFonts w:ascii="仿宋" w:hAnsi="仿宋" w:eastAsia="仿宋"/>
          <w:color w:val="000000" w:themeColor="text1"/>
          <w:sz w:val="28"/>
          <w:szCs w:val="28"/>
          <w:highlight w:val="none"/>
          <w14:textFill>
            <w14:solidFill>
              <w14:schemeClr w14:val="tx1"/>
            </w14:solidFill>
          </w14:textFill>
        </w:rPr>
        <w:t>进度款支付累计不超过</w:t>
      </w:r>
      <w:r>
        <w:rPr>
          <w:rFonts w:hint="eastAsia" w:ascii="仿宋" w:hAnsi="仿宋" w:eastAsia="仿宋"/>
          <w:color w:val="000000" w:themeColor="text1"/>
          <w:sz w:val="28"/>
          <w:szCs w:val="28"/>
          <w:highlight w:val="none"/>
          <w14:textFill>
            <w14:solidFill>
              <w14:schemeClr w14:val="tx1"/>
            </w14:solidFill>
          </w14:textFill>
        </w:rPr>
        <w:t>合同价（扣除暂列金及合同扣减部分）的</w:t>
      </w:r>
      <w:r>
        <w:rPr>
          <w:rFonts w:ascii="仿宋" w:hAnsi="仿宋" w:eastAsia="仿宋"/>
          <w:color w:val="000000" w:themeColor="text1"/>
          <w:sz w:val="28"/>
          <w:szCs w:val="28"/>
          <w:highlight w:val="none"/>
          <w14:textFill>
            <w14:solidFill>
              <w14:schemeClr w14:val="tx1"/>
            </w14:solidFill>
          </w14:textFill>
        </w:rPr>
        <w:t>85</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p>
    <w:p w14:paraId="5778035A">
      <w:pPr>
        <w:numPr>
          <w:ilvl w:val="0"/>
          <w:numId w:val="2"/>
        </w:numPr>
        <w:snapToGrid w:val="0"/>
        <w:spacing w:line="560" w:lineRule="exact"/>
        <w:ind w:firstLineChars="15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工程全部完工，竣工验收合格并移交甲方后，支付至签约合同价（扣除暂列金及合同扣减部分）的85%。</w:t>
      </w:r>
    </w:p>
    <w:p w14:paraId="1258F7EA">
      <w:pPr>
        <w:numPr>
          <w:ilvl w:val="0"/>
          <w:numId w:val="2"/>
        </w:numPr>
        <w:snapToGrid w:val="0"/>
        <w:spacing w:line="560" w:lineRule="exact"/>
        <w:ind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竣工结算完成支付剩余价款（扣除工程质量保证金，工程质量保证金为工程结算价的3%）。</w:t>
      </w:r>
    </w:p>
    <w:p w14:paraId="0AFFC3E7">
      <w:pPr>
        <w:numPr>
          <w:ilvl w:val="0"/>
          <w:numId w:val="2"/>
        </w:numPr>
        <w:snapToGrid w:val="0"/>
        <w:spacing w:line="560" w:lineRule="exact"/>
        <w:ind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详见合同“第四条 费用及付款方式”。</w:t>
      </w:r>
    </w:p>
    <w:p w14:paraId="4D12DF27">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工期要求</w:t>
      </w:r>
    </w:p>
    <w:p w14:paraId="521CC75F">
      <w:p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总体工期不大于</w:t>
      </w:r>
      <w:r>
        <w:rPr>
          <w:rFonts w:hint="eastAsia" w:ascii="仿宋" w:hAnsi="仿宋" w:eastAsia="仿宋"/>
          <w:color w:val="000000" w:themeColor="text1"/>
          <w:sz w:val="28"/>
          <w:szCs w:val="28"/>
          <w:highlight w:val="none"/>
          <w:lang w:val="en-US" w:eastAsia="zh-CN"/>
          <w14:textFill>
            <w14:solidFill>
              <w14:schemeClr w14:val="tx1"/>
            </w14:solidFill>
          </w14:textFill>
        </w:rPr>
        <w:t>110</w:t>
      </w:r>
      <w:r>
        <w:rPr>
          <w:rFonts w:hint="eastAsia" w:ascii="仿宋" w:hAnsi="仿宋" w:eastAsia="仿宋"/>
          <w:color w:val="000000" w:themeColor="text1"/>
          <w:sz w:val="28"/>
          <w:szCs w:val="28"/>
          <w:highlight w:val="none"/>
          <w14:textFill>
            <w14:solidFill>
              <w14:schemeClr w14:val="tx1"/>
            </w14:solidFill>
          </w14:textFill>
        </w:rPr>
        <w:t>日历天（以开工令确定的开工之日起算），</w:t>
      </w:r>
      <w:r>
        <w:rPr>
          <w:rFonts w:ascii="仿宋" w:hAnsi="仿宋" w:eastAsia="仿宋"/>
          <w:color w:val="000000" w:themeColor="text1"/>
          <w:sz w:val="28"/>
          <w:szCs w:val="28"/>
          <w:highlight w:val="none"/>
          <w14:textFill>
            <w14:solidFill>
              <w14:schemeClr w14:val="tx1"/>
            </w14:solidFill>
          </w14:textFill>
        </w:rPr>
        <w:t>整体项目周期设置合理、承诺工期较短有利于中标，但不保证中标。</w:t>
      </w:r>
    </w:p>
    <w:p w14:paraId="73825102">
      <w:p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物业管理单位对环境保护要求严格</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且该栋建筑物功能含公寓，</w:t>
      </w:r>
      <w:r>
        <w:rPr>
          <w:rFonts w:hint="eastAsia" w:ascii="仿宋" w:hAnsi="仿宋" w:eastAsia="仿宋"/>
          <w:color w:val="000000" w:themeColor="text1"/>
          <w:sz w:val="28"/>
          <w:szCs w:val="28"/>
          <w:highlight w:val="none"/>
          <w14:textFill>
            <w14:solidFill>
              <w14:schemeClr w14:val="tx1"/>
            </w14:solidFill>
          </w14:textFill>
        </w:rPr>
        <w:t>施工时间和材料及废弃物搬运需满足物业管理要求，可能需要夜间施工，投标单位应充分考虑由此带来的施工困难</w:t>
      </w:r>
      <w:r>
        <w:rPr>
          <w:rFonts w:ascii="仿宋" w:hAnsi="仿宋" w:eastAsia="仿宋"/>
          <w:color w:val="000000" w:themeColor="text1"/>
          <w:sz w:val="28"/>
          <w:szCs w:val="28"/>
          <w:highlight w:val="none"/>
          <w14:textFill>
            <w14:solidFill>
              <w14:schemeClr w14:val="tx1"/>
            </w14:solidFill>
          </w14:textFill>
        </w:rPr>
        <w:t>。</w:t>
      </w:r>
    </w:p>
    <w:p w14:paraId="42D334C1">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报价要求</w:t>
      </w:r>
    </w:p>
    <w:p w14:paraId="3F6E258F">
      <w:pPr>
        <w:numPr>
          <w:ilvl w:val="0"/>
          <w:numId w:val="3"/>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本项目为</w:t>
      </w:r>
      <w:r>
        <w:rPr>
          <w:rFonts w:hint="eastAsia" w:ascii="仿宋" w:hAnsi="仿宋" w:eastAsia="仿宋"/>
          <w:b/>
          <w:bCs/>
          <w:color w:val="000000" w:themeColor="text1"/>
          <w:sz w:val="28"/>
          <w:szCs w:val="28"/>
          <w:highlight w:val="none"/>
          <w14:textFill>
            <w14:solidFill>
              <w14:schemeClr w14:val="tx1"/>
            </w14:solidFill>
          </w14:textFill>
        </w:rPr>
        <w:t>固定单价合同</w:t>
      </w:r>
      <w:r>
        <w:rPr>
          <w:rFonts w:hint="eastAsia" w:ascii="仿宋" w:hAnsi="仿宋" w:eastAsia="仿宋"/>
          <w:color w:val="000000" w:themeColor="text1"/>
          <w:sz w:val="28"/>
          <w:szCs w:val="28"/>
          <w:highlight w:val="none"/>
          <w14:textFill>
            <w14:solidFill>
              <w14:schemeClr w14:val="tx1"/>
            </w14:solidFill>
          </w14:textFill>
        </w:rPr>
        <w:t>，包括但不限于材料费、人工费、机械费、管理费、风险费、损耗费、利润、材料送检等全部费用，后期不得调整。</w:t>
      </w:r>
    </w:p>
    <w:p w14:paraId="006D1987">
      <w:pPr>
        <w:numPr>
          <w:ilvl w:val="0"/>
          <w:numId w:val="3"/>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措施费包干，结算不予调整（不随设计变更、现场签证、赶工、夜间施工等调整）。</w:t>
      </w:r>
    </w:p>
    <w:p w14:paraId="03AF58C0">
      <w:pPr>
        <w:numPr>
          <w:ilvl w:val="0"/>
          <w:numId w:val="3"/>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投标人须根据招标清单进行商务标报价，招标清单见附件。</w:t>
      </w:r>
    </w:p>
    <w:p w14:paraId="3071A76C">
      <w:pPr>
        <w:numPr>
          <w:ilvl w:val="0"/>
          <w:numId w:val="3"/>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暂列金</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安全文明施工措施费</w:t>
      </w:r>
      <w:r>
        <w:rPr>
          <w:rFonts w:hint="eastAsia" w:ascii="仿宋" w:hAnsi="仿宋" w:eastAsia="仿宋"/>
          <w:color w:val="000000" w:themeColor="text1"/>
          <w:sz w:val="28"/>
          <w:szCs w:val="28"/>
          <w:highlight w:val="none"/>
          <w:lang w:val="en-US" w:eastAsia="zh-CN"/>
          <w14:textFill>
            <w14:solidFill>
              <w14:schemeClr w14:val="tx1"/>
            </w14:solidFill>
          </w14:textFill>
        </w:rPr>
        <w:t>和</w:t>
      </w:r>
      <w:r>
        <w:rPr>
          <w:rFonts w:hint="eastAsia" w:ascii="仿宋" w:hAnsi="仿宋" w:eastAsia="仿宋"/>
          <w:color w:val="000000" w:themeColor="text1"/>
          <w:sz w:val="28"/>
          <w:szCs w:val="28"/>
          <w:highlight w:val="none"/>
          <w:lang w:eastAsia="zh-CN"/>
          <w14:textFill>
            <w14:solidFill>
              <w14:schemeClr w14:val="tx1"/>
            </w14:solidFill>
          </w14:textFill>
        </w:rPr>
        <w:t>专业工程暂估价（燃气表迁移）</w:t>
      </w:r>
      <w:r>
        <w:rPr>
          <w:rFonts w:hint="eastAsia" w:ascii="仿宋" w:hAnsi="仿宋" w:eastAsia="仿宋"/>
          <w:color w:val="000000" w:themeColor="text1"/>
          <w:sz w:val="28"/>
          <w:szCs w:val="28"/>
          <w:highlight w:val="none"/>
          <w14:textFill>
            <w14:solidFill>
              <w14:schemeClr w14:val="tx1"/>
            </w14:solidFill>
          </w14:textFill>
        </w:rPr>
        <w:t>为不可竞争费，投标报价不可调整。</w:t>
      </w:r>
    </w:p>
    <w:p w14:paraId="335A4429">
      <w:pPr>
        <w:numPr>
          <w:ilvl w:val="0"/>
          <w:numId w:val="3"/>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下浮率=1-（投标报价-不可竞争费）/（招标控制价-不可竞争费）。</w:t>
      </w:r>
    </w:p>
    <w:p w14:paraId="66015D5A">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资质要求</w:t>
      </w:r>
    </w:p>
    <w:p w14:paraId="02D832B0">
      <w:pPr>
        <w:pStyle w:val="63"/>
        <w:numPr>
          <w:ilvl w:val="0"/>
          <w:numId w:val="4"/>
        </w:numPr>
        <w:spacing w:line="560" w:lineRule="exact"/>
        <w:ind w:firstLineChars="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投标人资质等级要求：</w:t>
      </w:r>
      <w:r>
        <w:rPr>
          <w:rFonts w:hint="eastAsia" w:ascii="仿宋" w:hAnsi="仿宋" w:eastAsia="仿宋" w:cs="仿宋"/>
          <w:color w:val="000000" w:themeColor="text1"/>
          <w:sz w:val="28"/>
          <w:szCs w:val="28"/>
          <w:highlight w:val="none"/>
          <w14:textFill>
            <w14:solidFill>
              <w14:schemeClr w14:val="tx1"/>
            </w14:solidFill>
          </w14:textFill>
        </w:rPr>
        <w:t>施工总承包三级及以上资质</w:t>
      </w:r>
      <w:r>
        <w:rPr>
          <w:rFonts w:hint="eastAsia" w:ascii="仿宋" w:hAnsi="仿宋" w:eastAsia="仿宋" w:cs="仿宋"/>
          <w:b/>
          <w:bCs/>
          <w:color w:val="000000" w:themeColor="text1"/>
          <w:sz w:val="28"/>
          <w:szCs w:val="28"/>
          <w:highlight w:val="none"/>
          <w14:textFill>
            <w14:solidFill>
              <w14:schemeClr w14:val="tx1"/>
            </w14:solidFill>
          </w14:textFill>
        </w:rPr>
        <w:t>或</w:t>
      </w:r>
      <w:r>
        <w:rPr>
          <w:rFonts w:ascii="仿宋" w:hAnsi="仿宋" w:eastAsia="仿宋"/>
          <w:color w:val="000000" w:themeColor="text1"/>
          <w:sz w:val="28"/>
          <w:szCs w:val="28"/>
          <w:highlight w:val="none"/>
          <w14:textFill>
            <w14:solidFill>
              <w14:schemeClr w14:val="tx1"/>
            </w14:solidFill>
          </w14:textFill>
        </w:rPr>
        <w:t>建筑装修装饰工程专业承包二级</w:t>
      </w:r>
      <w:r>
        <w:rPr>
          <w:rFonts w:hint="eastAsia" w:ascii="仿宋" w:hAnsi="仿宋" w:eastAsia="仿宋"/>
          <w:color w:val="000000" w:themeColor="text1"/>
          <w:sz w:val="28"/>
          <w:szCs w:val="28"/>
          <w:highlight w:val="none"/>
          <w14:textFill>
            <w14:solidFill>
              <w14:schemeClr w14:val="tx1"/>
            </w14:solidFill>
          </w14:textFill>
        </w:rPr>
        <w:t>及</w:t>
      </w:r>
      <w:r>
        <w:rPr>
          <w:rFonts w:ascii="仿宋" w:hAnsi="仿宋" w:eastAsia="仿宋"/>
          <w:color w:val="000000" w:themeColor="text1"/>
          <w:sz w:val="28"/>
          <w:szCs w:val="28"/>
          <w:highlight w:val="none"/>
          <w14:textFill>
            <w14:solidFill>
              <w14:schemeClr w14:val="tx1"/>
            </w14:solidFill>
          </w14:textFill>
        </w:rPr>
        <w:t>以上资质</w:t>
      </w:r>
      <w:r>
        <w:rPr>
          <w:rFonts w:hint="eastAsia" w:ascii="仿宋" w:hAnsi="仿宋" w:eastAsia="仿宋"/>
          <w:color w:val="000000" w:themeColor="text1"/>
          <w:sz w:val="28"/>
          <w:szCs w:val="28"/>
          <w:highlight w:val="none"/>
          <w14:textFill>
            <w14:solidFill>
              <w14:schemeClr w14:val="tx1"/>
            </w14:solidFill>
          </w14:textFill>
        </w:rPr>
        <w:t>，同时应具备安全生产许可证。</w:t>
      </w:r>
    </w:p>
    <w:p w14:paraId="08D314B8">
      <w:pPr>
        <w:pStyle w:val="63"/>
        <w:numPr>
          <w:ilvl w:val="0"/>
          <w:numId w:val="4"/>
        </w:numPr>
        <w:spacing w:line="560" w:lineRule="exact"/>
        <w:ind w:firstLineChars="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投标人项目经理（建造师）要求：二级及以上注册建造师（建筑工程专业）且具备安全生产考核合格证。</w:t>
      </w:r>
    </w:p>
    <w:p w14:paraId="50C31EE9">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招标控制价及投标上限价</w:t>
      </w:r>
    </w:p>
    <w:p w14:paraId="2375B709">
      <w:pPr>
        <w:pStyle w:val="63"/>
        <w:spacing w:line="560" w:lineRule="exact"/>
        <w:ind w:left="420"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本项目招标控制价为</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2564982.33</w:t>
      </w:r>
      <w:r>
        <w:rPr>
          <w:rFonts w:hint="eastAsia" w:ascii="仿宋" w:hAnsi="仿宋" w:eastAsia="仿宋"/>
          <w:color w:val="000000" w:themeColor="text1"/>
          <w:sz w:val="28"/>
          <w:szCs w:val="28"/>
          <w:highlight w:val="none"/>
          <w14:textFill>
            <w14:solidFill>
              <w14:schemeClr w14:val="tx1"/>
            </w14:solidFill>
          </w14:textFill>
        </w:rPr>
        <w:t>元，其中不可竞争费共</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293441.20</w:t>
      </w:r>
      <w:r>
        <w:rPr>
          <w:rFonts w:hint="eastAsia" w:ascii="仿宋" w:hAnsi="仿宋" w:eastAsia="仿宋"/>
          <w:color w:val="000000" w:themeColor="text1"/>
          <w:sz w:val="28"/>
          <w:szCs w:val="28"/>
          <w:highlight w:val="none"/>
          <w14:textFill>
            <w14:solidFill>
              <w14:schemeClr w14:val="tx1"/>
            </w14:solidFill>
          </w14:textFill>
        </w:rPr>
        <w:t>元（含暂列金</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224702.52</w:t>
      </w:r>
      <w:r>
        <w:rPr>
          <w:rFonts w:hint="eastAsia" w:ascii="仿宋" w:hAnsi="仿宋" w:eastAsia="仿宋"/>
          <w:color w:val="000000" w:themeColor="text1"/>
          <w:sz w:val="28"/>
          <w:szCs w:val="28"/>
          <w:highlight w:val="none"/>
          <w14:textFill>
            <w14:solidFill>
              <w14:schemeClr w14:val="tx1"/>
            </w14:solidFill>
          </w14:textFill>
        </w:rPr>
        <w:t>元、安全文明施工措施费</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38738.68</w:t>
      </w:r>
      <w:r>
        <w:rPr>
          <w:rFonts w:hint="eastAsia" w:ascii="仿宋" w:hAnsi="仿宋" w:eastAsia="仿宋"/>
          <w:color w:val="000000" w:themeColor="text1"/>
          <w:sz w:val="28"/>
          <w:szCs w:val="28"/>
          <w:highlight w:val="none"/>
          <w14:textFill>
            <w14:solidFill>
              <w14:schemeClr w14:val="tx1"/>
            </w14:solidFill>
          </w14:textFill>
        </w:rPr>
        <w:t>元</w:t>
      </w:r>
      <w:r>
        <w:rPr>
          <w:rFonts w:hint="eastAsia" w:ascii="仿宋" w:hAnsi="仿宋" w:eastAsia="仿宋"/>
          <w:color w:val="000000" w:themeColor="text1"/>
          <w:sz w:val="28"/>
          <w:szCs w:val="28"/>
          <w:highlight w:val="none"/>
          <w:lang w:eastAsia="zh-CN"/>
          <w14:textFill>
            <w14:solidFill>
              <w14:schemeClr w14:val="tx1"/>
            </w14:solidFill>
          </w14:textFill>
        </w:rPr>
        <w:t>，专业工程暂估价（燃气表迁移）30000</w:t>
      </w:r>
      <w:r>
        <w:rPr>
          <w:rFonts w:hint="eastAsia" w:ascii="仿宋" w:hAnsi="仿宋" w:eastAsia="仿宋"/>
          <w:color w:val="000000" w:themeColor="text1"/>
          <w:sz w:val="28"/>
          <w:szCs w:val="28"/>
          <w:highlight w:val="none"/>
          <w:lang w:val="en-US" w:eastAsia="zh-CN"/>
          <w14:textFill>
            <w14:solidFill>
              <w14:schemeClr w14:val="tx1"/>
            </w14:solidFill>
          </w14:textFill>
        </w:rPr>
        <w:t>.00元</w:t>
      </w:r>
      <w:r>
        <w:rPr>
          <w:rFonts w:hint="eastAsia" w:ascii="仿宋" w:hAnsi="仿宋" w:eastAsia="仿宋"/>
          <w:color w:val="000000" w:themeColor="text1"/>
          <w:sz w:val="28"/>
          <w:szCs w:val="28"/>
          <w:highlight w:val="none"/>
          <w14:textFill>
            <w14:solidFill>
              <w14:schemeClr w14:val="tx1"/>
            </w14:solidFill>
          </w14:textFill>
        </w:rPr>
        <w:t>）。</w:t>
      </w:r>
    </w:p>
    <w:p w14:paraId="2F32DC8C">
      <w:pPr>
        <w:pStyle w:val="63"/>
        <w:spacing w:line="560" w:lineRule="exact"/>
        <w:ind w:left="420"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投标上限价为</w:t>
      </w:r>
      <w:r>
        <w:rPr>
          <w:rFonts w:hint="eastAsia" w:ascii="仿宋" w:hAnsi="仿宋" w:eastAsia="仿宋"/>
          <w:color w:val="000000" w:themeColor="text1"/>
          <w:sz w:val="28"/>
          <w:szCs w:val="28"/>
          <w:highlight w:val="none"/>
          <w:lang w:val="en-US" w:eastAsia="zh-CN"/>
          <w14:textFill>
            <w14:solidFill>
              <w14:schemeClr w14:val="tx1"/>
            </w14:solidFill>
          </w14:textFill>
        </w:rPr>
        <w:t>2337828.22</w:t>
      </w:r>
      <w:r>
        <w:rPr>
          <w:rFonts w:hint="eastAsia" w:ascii="仿宋" w:hAnsi="仿宋" w:eastAsia="仿宋"/>
          <w:color w:val="000000" w:themeColor="text1"/>
          <w:sz w:val="28"/>
          <w:szCs w:val="28"/>
          <w:highlight w:val="none"/>
          <w14:textFill>
            <w14:solidFill>
              <w14:schemeClr w14:val="tx1"/>
            </w14:solidFill>
          </w14:textFill>
        </w:rPr>
        <w:t>元（招标控制价净下浮</w:t>
      </w:r>
      <w:r>
        <w:rPr>
          <w:rFonts w:hint="eastAsia" w:ascii="仿宋" w:hAnsi="仿宋" w:eastAsia="仿宋"/>
          <w:color w:val="000000" w:themeColor="text1"/>
          <w:sz w:val="28"/>
          <w:szCs w:val="28"/>
          <w:highlight w:val="none"/>
          <w:lang w:val="en-US" w:eastAsia="zh-CN"/>
          <w14:textFill>
            <w14:solidFill>
              <w14:schemeClr w14:val="tx1"/>
            </w14:solidFill>
          </w14:textFill>
        </w:rPr>
        <w:t>10</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投标报价</w:t>
      </w:r>
      <w:r>
        <w:rPr>
          <w:rFonts w:hint="eastAsia" w:ascii="仿宋" w:hAnsi="仿宋" w:eastAsia="仿宋"/>
          <w:color w:val="000000" w:themeColor="text1"/>
          <w:sz w:val="28"/>
          <w:szCs w:val="28"/>
          <w:highlight w:val="none"/>
          <w14:textFill>
            <w14:solidFill>
              <w14:schemeClr w14:val="tx1"/>
            </w14:solidFill>
          </w14:textFill>
        </w:rPr>
        <w:t>超过</w:t>
      </w:r>
      <w:r>
        <w:rPr>
          <w:rFonts w:hint="eastAsia" w:ascii="仿宋" w:hAnsi="仿宋" w:eastAsia="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上限价</w:t>
      </w:r>
      <w:r>
        <w:rPr>
          <w:rFonts w:hint="eastAsia" w:ascii="仿宋" w:hAnsi="仿宋" w:eastAsia="仿宋"/>
          <w:color w:val="000000" w:themeColor="text1"/>
          <w:sz w:val="28"/>
          <w:szCs w:val="28"/>
          <w:highlight w:val="none"/>
          <w:lang w:val="en-US" w:eastAsia="zh-CN"/>
          <w14:textFill>
            <w14:solidFill>
              <w14:schemeClr w14:val="tx1"/>
            </w14:solidFill>
          </w14:textFill>
        </w:rPr>
        <w:t>则投标文件</w:t>
      </w:r>
      <w:r>
        <w:rPr>
          <w:rFonts w:hint="eastAsia" w:ascii="仿宋" w:hAnsi="仿宋" w:eastAsia="仿宋"/>
          <w:color w:val="000000" w:themeColor="text1"/>
          <w:sz w:val="28"/>
          <w:szCs w:val="28"/>
          <w:highlight w:val="none"/>
          <w14:textFill>
            <w14:solidFill>
              <w14:schemeClr w14:val="tx1"/>
            </w14:solidFill>
          </w14:textFill>
        </w:rPr>
        <w:t>无效。</w:t>
      </w:r>
    </w:p>
    <w:p w14:paraId="41E19488">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评标、定标办法</w:t>
      </w:r>
    </w:p>
    <w:p w14:paraId="0773CF90">
      <w:p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采用定性评审法评标、直接票决定标。</w:t>
      </w:r>
    </w:p>
    <w:p w14:paraId="406F8BD6">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截标、开标时间和地点</w:t>
      </w:r>
    </w:p>
    <w:p w14:paraId="401B9D03">
      <w:pPr>
        <w:numPr>
          <w:ilvl w:val="0"/>
          <w:numId w:val="5"/>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领取招标文件时间：20</w:t>
      </w:r>
      <w:r>
        <w:rPr>
          <w:rFonts w:hint="eastAsia" w:ascii="仿宋" w:hAnsi="仿宋" w:eastAsia="仿宋"/>
          <w:color w:val="000000" w:themeColor="text1"/>
          <w:sz w:val="28"/>
          <w:szCs w:val="28"/>
          <w:highlight w:val="none"/>
          <w:lang w:val="en-US" w:eastAsia="zh-CN"/>
          <w14:textFill>
            <w14:solidFill>
              <w14:schemeClr w14:val="tx1"/>
            </w14:solidFill>
          </w14:textFill>
        </w:rPr>
        <w:t>25</w:t>
      </w:r>
      <w:r>
        <w:rPr>
          <w:rFonts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ascii="仿宋" w:hAnsi="仿宋" w:eastAsia="仿宋"/>
          <w:color w:val="000000" w:themeColor="text1"/>
          <w:sz w:val="28"/>
          <w:szCs w:val="28"/>
          <w:highlight w:val="none"/>
          <w14:textFill>
            <w14:solidFill>
              <w14:schemeClr w14:val="tx1"/>
            </w14:solidFill>
          </w14:textFill>
        </w:rPr>
        <w:t>日至202</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14</w:t>
      </w:r>
      <w:r>
        <w:rPr>
          <w:rFonts w:ascii="仿宋" w:hAnsi="仿宋" w:eastAsia="仿宋"/>
          <w:color w:val="000000" w:themeColor="text1"/>
          <w:sz w:val="28"/>
          <w:szCs w:val="28"/>
          <w:highlight w:val="none"/>
          <w14:textFill>
            <w14:solidFill>
              <w14:schemeClr w14:val="tx1"/>
            </w14:solidFill>
          </w14:textFill>
        </w:rPr>
        <w:t>日</w:t>
      </w:r>
    </w:p>
    <w:p w14:paraId="1EB25A00">
      <w:pPr>
        <w:numPr>
          <w:ilvl w:val="0"/>
          <w:numId w:val="5"/>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领取招标文件地点：深圳市罗湖区特力大厦3层</w:t>
      </w:r>
      <w:r>
        <w:rPr>
          <w:rFonts w:hint="eastAsia" w:ascii="仿宋" w:hAnsi="仿宋" w:eastAsia="仿宋"/>
          <w:color w:val="000000" w:themeColor="text1"/>
          <w:sz w:val="28"/>
          <w:szCs w:val="28"/>
          <w:highlight w:val="none"/>
          <w14:textFill>
            <w14:solidFill>
              <w14:schemeClr w14:val="tx1"/>
            </w14:solidFill>
          </w14:textFill>
        </w:rPr>
        <w:t>建设管理事业部</w:t>
      </w:r>
    </w:p>
    <w:p w14:paraId="240EF420">
      <w:pPr>
        <w:numPr>
          <w:ilvl w:val="0"/>
          <w:numId w:val="5"/>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截标时间：202</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14</w:t>
      </w:r>
      <w:r>
        <w:rPr>
          <w:rFonts w:ascii="仿宋" w:hAnsi="仿宋" w:eastAsia="仿宋"/>
          <w:color w:val="000000" w:themeColor="text1"/>
          <w:sz w:val="28"/>
          <w:szCs w:val="28"/>
          <w:highlight w:val="none"/>
          <w14:textFill>
            <w14:solidFill>
              <w14:schemeClr w14:val="tx1"/>
            </w14:solidFill>
          </w14:textFill>
        </w:rPr>
        <w:t>日 上午</w:t>
      </w:r>
      <w:r>
        <w:rPr>
          <w:rFonts w:hint="eastAsia" w:ascii="仿宋" w:hAnsi="仿宋" w:eastAsia="仿宋"/>
          <w:color w:val="000000" w:themeColor="text1"/>
          <w:sz w:val="28"/>
          <w:szCs w:val="28"/>
          <w:highlight w:val="none"/>
          <w:lang w:val="en-US" w:eastAsia="zh-CN"/>
          <w14:textFill>
            <w14:solidFill>
              <w14:schemeClr w14:val="tx1"/>
            </w14:solidFill>
          </w14:textFill>
        </w:rPr>
        <w:t>12</w:t>
      </w:r>
      <w:r>
        <w:rPr>
          <w:rFonts w:ascii="仿宋" w:hAnsi="仿宋" w:eastAsia="仿宋"/>
          <w:color w:val="000000" w:themeColor="text1"/>
          <w:sz w:val="28"/>
          <w:szCs w:val="28"/>
          <w:highlight w:val="none"/>
          <w14:textFill>
            <w14:solidFill>
              <w14:schemeClr w14:val="tx1"/>
            </w14:solidFill>
          </w14:textFill>
        </w:rPr>
        <w:t xml:space="preserve">:00 </w:t>
      </w:r>
    </w:p>
    <w:p w14:paraId="7280BECF">
      <w:pPr>
        <w:numPr>
          <w:ilvl w:val="0"/>
          <w:numId w:val="5"/>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标书送达地点：深圳市罗湖区特力大厦3层</w:t>
      </w:r>
      <w:r>
        <w:rPr>
          <w:rFonts w:hint="eastAsia" w:ascii="仿宋" w:hAnsi="仿宋" w:eastAsia="仿宋"/>
          <w:color w:val="000000" w:themeColor="text1"/>
          <w:sz w:val="28"/>
          <w:szCs w:val="28"/>
          <w:highlight w:val="none"/>
          <w14:textFill>
            <w14:solidFill>
              <w14:schemeClr w14:val="tx1"/>
            </w14:solidFill>
          </w14:textFill>
        </w:rPr>
        <w:t>建设管理事业部</w:t>
      </w:r>
    </w:p>
    <w:p w14:paraId="5796C345">
      <w:pPr>
        <w:numPr>
          <w:ilvl w:val="0"/>
          <w:numId w:val="5"/>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开标时间：招标人自行安排，无需投标人参与。</w:t>
      </w:r>
    </w:p>
    <w:p w14:paraId="0117FD8E">
      <w:pPr>
        <w:numPr>
          <w:ilvl w:val="0"/>
          <w:numId w:val="5"/>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开标地点：招标人自行安排，无需投标人参与。</w:t>
      </w:r>
    </w:p>
    <w:p w14:paraId="592C9623">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投标人需递交的材料</w:t>
      </w:r>
    </w:p>
    <w:p w14:paraId="11A426F7">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w:t>
      </w:r>
      <w:r>
        <w:rPr>
          <w:rFonts w:ascii="仿宋" w:hAnsi="仿宋" w:eastAsia="仿宋"/>
          <w:color w:val="000000" w:themeColor="text1"/>
          <w:sz w:val="28"/>
          <w:szCs w:val="28"/>
          <w:highlight w:val="none"/>
          <w14:textFill>
            <w14:solidFill>
              <w14:schemeClr w14:val="tx1"/>
            </w14:solidFill>
          </w14:textFill>
        </w:rPr>
        <w:t>承诺书，详附件</w:t>
      </w:r>
      <w:r>
        <w:rPr>
          <w:rFonts w:hint="eastAsia" w:ascii="仿宋" w:hAnsi="仿宋" w:eastAsia="仿宋"/>
          <w:color w:val="000000" w:themeColor="text1"/>
          <w:sz w:val="28"/>
          <w:szCs w:val="28"/>
          <w:highlight w:val="none"/>
          <w14:textFill>
            <w14:solidFill>
              <w14:schemeClr w14:val="tx1"/>
            </w14:solidFill>
          </w14:textFill>
        </w:rPr>
        <w:t>。</w:t>
      </w:r>
    </w:p>
    <w:p w14:paraId="0C63749D">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商务标书（报价清单及明细）。</w:t>
      </w:r>
    </w:p>
    <w:p w14:paraId="10AFDC80">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单位营业执照复印件</w:t>
      </w:r>
      <w:r>
        <w:rPr>
          <w:rFonts w:hint="eastAsia" w:ascii="仿宋" w:hAnsi="仿宋" w:eastAsia="仿宋"/>
          <w:color w:val="000000" w:themeColor="text1"/>
          <w:sz w:val="28"/>
          <w:szCs w:val="28"/>
          <w:highlight w:val="none"/>
          <w14:textFill>
            <w14:solidFill>
              <w14:schemeClr w14:val="tx1"/>
            </w14:solidFill>
          </w14:textFill>
        </w:rPr>
        <w:t>。</w:t>
      </w:r>
    </w:p>
    <w:p w14:paraId="552C0EC3">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单位法人证明书正本</w:t>
      </w:r>
      <w:r>
        <w:rPr>
          <w:rFonts w:hint="eastAsia" w:ascii="仿宋" w:hAnsi="仿宋" w:eastAsia="仿宋"/>
          <w:color w:val="000000" w:themeColor="text1"/>
          <w:sz w:val="28"/>
          <w:szCs w:val="28"/>
          <w:highlight w:val="none"/>
          <w14:textFill>
            <w14:solidFill>
              <w14:schemeClr w14:val="tx1"/>
            </w14:solidFill>
          </w14:textFill>
        </w:rPr>
        <w:t>。</w:t>
      </w:r>
    </w:p>
    <w:p w14:paraId="404028D0">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投标人施工资质证书及安全生产许可证</w:t>
      </w:r>
      <w:r>
        <w:rPr>
          <w:rFonts w:ascii="仿宋" w:hAnsi="仿宋" w:eastAsia="仿宋"/>
          <w:color w:val="000000" w:themeColor="text1"/>
          <w:sz w:val="28"/>
          <w:szCs w:val="28"/>
          <w:highlight w:val="none"/>
          <w14:textFill>
            <w14:solidFill>
              <w14:schemeClr w14:val="tx1"/>
            </w14:solidFill>
          </w14:textFill>
        </w:rPr>
        <w:t>复印件</w:t>
      </w:r>
      <w:r>
        <w:rPr>
          <w:rFonts w:hint="eastAsia" w:ascii="仿宋" w:hAnsi="仿宋" w:eastAsia="仿宋"/>
          <w:color w:val="000000" w:themeColor="text1"/>
          <w:sz w:val="28"/>
          <w:szCs w:val="28"/>
          <w:highlight w:val="none"/>
          <w14:textFill>
            <w14:solidFill>
              <w14:schemeClr w14:val="tx1"/>
            </w14:solidFill>
          </w14:textFill>
        </w:rPr>
        <w:t>。</w:t>
      </w:r>
    </w:p>
    <w:p w14:paraId="5CCC749F">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拟派项目经理资质证书及安全生产考核合格证</w:t>
      </w:r>
      <w:r>
        <w:rPr>
          <w:rFonts w:ascii="仿宋" w:hAnsi="仿宋" w:eastAsia="仿宋"/>
          <w:color w:val="000000" w:themeColor="text1"/>
          <w:sz w:val="28"/>
          <w:szCs w:val="28"/>
          <w:highlight w:val="none"/>
          <w14:textFill>
            <w14:solidFill>
              <w14:schemeClr w14:val="tx1"/>
            </w14:solidFill>
          </w14:textFill>
        </w:rPr>
        <w:t>复印件</w:t>
      </w:r>
      <w:r>
        <w:rPr>
          <w:rFonts w:hint="eastAsia" w:ascii="仿宋" w:hAnsi="仿宋" w:eastAsia="仿宋"/>
          <w:color w:val="000000" w:themeColor="text1"/>
          <w:sz w:val="28"/>
          <w:szCs w:val="28"/>
          <w:highlight w:val="none"/>
          <w14:textFill>
            <w14:solidFill>
              <w14:schemeClr w14:val="tx1"/>
            </w14:solidFill>
          </w14:textFill>
        </w:rPr>
        <w:t>。</w:t>
      </w:r>
    </w:p>
    <w:p w14:paraId="008F078C">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委托代理人证明书正本</w:t>
      </w:r>
      <w:r>
        <w:rPr>
          <w:rFonts w:hint="eastAsia" w:ascii="仿宋" w:hAnsi="仿宋" w:eastAsia="仿宋"/>
          <w:color w:val="000000" w:themeColor="text1"/>
          <w:sz w:val="28"/>
          <w:szCs w:val="28"/>
          <w:highlight w:val="none"/>
          <w14:textFill>
            <w14:solidFill>
              <w14:schemeClr w14:val="tx1"/>
            </w14:solidFill>
          </w14:textFill>
        </w:rPr>
        <w:t>。</w:t>
      </w:r>
    </w:p>
    <w:p w14:paraId="47E5F49A">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代理人身份证复印件</w:t>
      </w:r>
      <w:r>
        <w:rPr>
          <w:rFonts w:hint="eastAsia" w:ascii="仿宋" w:hAnsi="仿宋" w:eastAsia="仿宋"/>
          <w:color w:val="000000" w:themeColor="text1"/>
          <w:sz w:val="28"/>
          <w:szCs w:val="28"/>
          <w:highlight w:val="none"/>
          <w14:textFill>
            <w14:solidFill>
              <w14:schemeClr w14:val="tx1"/>
            </w14:solidFill>
          </w14:textFill>
        </w:rPr>
        <w:t>。</w:t>
      </w:r>
    </w:p>
    <w:p w14:paraId="4464D082">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投标人及拟派项目经理近三年规模或合同价类似的业绩</w:t>
      </w:r>
      <w:r>
        <w:rPr>
          <w:rFonts w:ascii="仿宋" w:hAnsi="仿宋" w:eastAsia="仿宋"/>
          <w:color w:val="000000" w:themeColor="text1"/>
          <w:sz w:val="28"/>
          <w:szCs w:val="28"/>
          <w:highlight w:val="none"/>
          <w14:textFill>
            <w14:solidFill>
              <w14:schemeClr w14:val="tx1"/>
            </w14:solidFill>
          </w14:textFill>
        </w:rPr>
        <w:t>证明材料</w:t>
      </w:r>
      <w:r>
        <w:rPr>
          <w:rFonts w:hint="eastAsia" w:ascii="仿宋" w:hAnsi="仿宋" w:eastAsia="仿宋"/>
          <w:color w:val="000000" w:themeColor="text1"/>
          <w:sz w:val="28"/>
          <w:szCs w:val="28"/>
          <w:highlight w:val="none"/>
          <w14:textFill>
            <w14:solidFill>
              <w14:schemeClr w14:val="tx1"/>
            </w14:solidFill>
          </w14:textFill>
        </w:rPr>
        <w:t>（合同关键页和竣工验收报告，二者缺一不可）。</w:t>
      </w:r>
    </w:p>
    <w:p w14:paraId="47B61C5D">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投标人认为需要提供的其他资料</w:t>
      </w:r>
      <w:r>
        <w:rPr>
          <w:rFonts w:hint="eastAsia" w:ascii="仿宋" w:hAnsi="仿宋" w:eastAsia="仿宋"/>
          <w:color w:val="000000" w:themeColor="text1"/>
          <w:sz w:val="28"/>
          <w:szCs w:val="28"/>
          <w:highlight w:val="none"/>
          <w14:textFill>
            <w14:solidFill>
              <w14:schemeClr w14:val="tx1"/>
            </w14:solidFill>
          </w14:textFill>
        </w:rPr>
        <w:t>。</w:t>
      </w:r>
    </w:p>
    <w:p w14:paraId="5693D26D">
      <w:pPr>
        <w:numPr>
          <w:ilvl w:val="0"/>
          <w:numId w:val="6"/>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以上投标材料纸质版文件一式两份</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bCs/>
          <w:color w:val="000000" w:themeColor="text1"/>
          <w:sz w:val="28"/>
          <w:szCs w:val="28"/>
          <w:highlight w:val="none"/>
          <w14:textFill>
            <w14:solidFill>
              <w14:schemeClr w14:val="tx1"/>
            </w14:solidFill>
          </w14:textFill>
        </w:rPr>
        <w:t>需编写目录和页码</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并提供对应电子版文档（U盘</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未盖章版及盖章扫描版均需提供），所有复印件均需加盖公章，装入密封袋中。</w:t>
      </w:r>
    </w:p>
    <w:p w14:paraId="08159049">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废标</w:t>
      </w:r>
    </w:p>
    <w:p w14:paraId="6239950E">
      <w:pPr>
        <w:numPr>
          <w:ilvl w:val="0"/>
          <w:numId w:val="7"/>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投标邀请函第十一条中的（一）至（六）为必须提供的投标资料，投标人未提供或提供内容不完整视为废标。</w:t>
      </w:r>
    </w:p>
    <w:p w14:paraId="3F04B301">
      <w:pPr>
        <w:numPr>
          <w:ilvl w:val="0"/>
          <w:numId w:val="7"/>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商务标存在无效报价情况，作废标处理。</w:t>
      </w:r>
    </w:p>
    <w:p w14:paraId="2D489841">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投标人信用审查条款</w:t>
      </w:r>
    </w:p>
    <w:p w14:paraId="69A7C758">
      <w:pPr>
        <w:numPr>
          <w:ilvl w:val="-1"/>
          <w:numId w:val="0"/>
        </w:numPr>
        <w:snapToGrid w:val="0"/>
        <w:spacing w:line="560" w:lineRule="exact"/>
        <w:ind w:left="420" w:firstLine="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信用信息查询要求</w:t>
      </w:r>
      <w:r>
        <w:rPr>
          <w:rFonts w:hint="eastAsia" w:ascii="仿宋" w:hAnsi="仿宋" w:eastAsia="仿宋"/>
          <w:color w:val="000000" w:themeColor="text1"/>
          <w:sz w:val="28"/>
          <w:szCs w:val="28"/>
          <w:highlight w:val="none"/>
          <w:lang w:eastAsia="zh-CN"/>
          <w14:textFill>
            <w14:solidFill>
              <w14:schemeClr w14:val="tx1"/>
            </w14:solidFill>
          </w14:textFill>
        </w:rPr>
        <w:t>：</w:t>
      </w:r>
    </w:p>
    <w:p w14:paraId="063401A4">
      <w:pPr>
        <w:numPr>
          <w:ilvl w:val="-1"/>
          <w:numId w:val="0"/>
        </w:num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一</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查询渠道：</w:t>
      </w:r>
      <w:r>
        <w:rPr>
          <w:rFonts w:hint="eastAsia" w:ascii="仿宋" w:hAnsi="仿宋" w:eastAsia="仿宋"/>
          <w:color w:val="000000" w:themeColor="text1"/>
          <w:sz w:val="28"/>
          <w:szCs w:val="28"/>
          <w:highlight w:val="none"/>
          <w:lang w:val="en-US" w:eastAsia="zh-CN"/>
          <w14:textFill>
            <w14:solidFill>
              <w14:schemeClr w14:val="tx1"/>
            </w14:solidFill>
          </w14:textFill>
        </w:rPr>
        <w:t>招标人</w:t>
      </w:r>
      <w:r>
        <w:rPr>
          <w:rFonts w:hint="eastAsia" w:ascii="仿宋" w:hAnsi="仿宋" w:eastAsia="仿宋"/>
          <w:color w:val="000000" w:themeColor="text1"/>
          <w:sz w:val="28"/>
          <w:szCs w:val="28"/>
          <w:highlight w:val="none"/>
          <w14:textFill>
            <w14:solidFill>
              <w14:schemeClr w14:val="tx1"/>
            </w14:solidFill>
          </w14:textFill>
        </w:rPr>
        <w:t>将通过 “信用中国” 网站（www.creditchina.gov.cn）、中国政府采购网（www.ccgp.gov.cn）等官方权威渠道对供应商信用信息进行查询。</w:t>
      </w:r>
    </w:p>
    <w:p w14:paraId="56DB0DCA">
      <w:pPr>
        <w:numPr>
          <w:ilvl w:val="-1"/>
          <w:numId w:val="0"/>
        </w:num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截止时点：以</w:t>
      </w:r>
      <w:r>
        <w:rPr>
          <w:rFonts w:hint="eastAsia" w:ascii="仿宋" w:hAnsi="仿宋" w:eastAsia="仿宋"/>
          <w:color w:val="000000" w:themeColor="text1"/>
          <w:sz w:val="28"/>
          <w:szCs w:val="28"/>
          <w:highlight w:val="none"/>
          <w:lang w:val="en-US" w:eastAsia="zh-CN"/>
          <w14:textFill>
            <w14:solidFill>
              <w14:schemeClr w14:val="tx1"/>
            </w14:solidFill>
          </w14:textFill>
        </w:rPr>
        <w:t>招标人</w:t>
      </w:r>
      <w:r>
        <w:rPr>
          <w:rFonts w:hint="eastAsia" w:ascii="仿宋" w:hAnsi="仿宋" w:eastAsia="仿宋"/>
          <w:color w:val="000000" w:themeColor="text1"/>
          <w:sz w:val="28"/>
          <w:szCs w:val="28"/>
          <w:highlight w:val="none"/>
          <w14:textFill>
            <w14:solidFill>
              <w14:schemeClr w14:val="tx1"/>
            </w14:solidFill>
          </w14:textFill>
        </w:rPr>
        <w:t>于</w:t>
      </w:r>
      <w:r>
        <w:rPr>
          <w:rFonts w:hint="eastAsia" w:ascii="仿宋" w:hAnsi="仿宋" w:eastAsia="仿宋"/>
          <w:color w:val="000000" w:themeColor="text1"/>
          <w:sz w:val="28"/>
          <w:szCs w:val="28"/>
          <w:highlight w:val="none"/>
          <w:lang w:val="en-US" w:eastAsia="zh-CN"/>
          <w14:textFill>
            <w14:solidFill>
              <w14:schemeClr w14:val="tx1"/>
            </w14:solidFill>
          </w14:textFill>
        </w:rPr>
        <w:t>开评标</w:t>
      </w:r>
      <w:r>
        <w:rPr>
          <w:rFonts w:hint="eastAsia" w:ascii="仿宋" w:hAnsi="仿宋" w:eastAsia="仿宋"/>
          <w:color w:val="000000" w:themeColor="text1"/>
          <w:sz w:val="28"/>
          <w:szCs w:val="28"/>
          <w:highlight w:val="none"/>
          <w14:textFill>
            <w14:solidFill>
              <w14:schemeClr w14:val="tx1"/>
            </w14:solidFill>
          </w14:textFill>
        </w:rPr>
        <w:t>当天在“信用中国”网站（www.creditchina.gov.cn）及中国政府采购网（http://www.ccgp.gov.cn/）查询结果为准，如相关失信记录已失效，</w:t>
      </w:r>
      <w:r>
        <w:rPr>
          <w:rFonts w:hint="eastAsia" w:ascii="仿宋" w:hAnsi="仿宋" w:eastAsia="仿宋"/>
          <w:color w:val="000000" w:themeColor="text1"/>
          <w:sz w:val="28"/>
          <w:szCs w:val="28"/>
          <w:highlight w:val="none"/>
          <w:lang w:val="en-US" w:eastAsia="zh-CN"/>
          <w14:textFill>
            <w14:solidFill>
              <w14:schemeClr w14:val="tx1"/>
            </w14:solidFill>
          </w14:textFill>
        </w:rPr>
        <w:t>投标人</w:t>
      </w:r>
      <w:r>
        <w:rPr>
          <w:rFonts w:hint="eastAsia" w:ascii="仿宋" w:hAnsi="仿宋" w:eastAsia="仿宋"/>
          <w:color w:val="000000" w:themeColor="text1"/>
          <w:sz w:val="28"/>
          <w:szCs w:val="28"/>
          <w:highlight w:val="none"/>
          <w14:textFill>
            <w14:solidFill>
              <w14:schemeClr w14:val="tx1"/>
            </w14:solidFill>
          </w14:textFill>
        </w:rPr>
        <w:t>需提供相关证明资料。</w:t>
      </w:r>
    </w:p>
    <w:p w14:paraId="465B9122">
      <w:pPr>
        <w:numPr>
          <w:ilvl w:val="-1"/>
          <w:numId w:val="0"/>
        </w:numPr>
        <w:snapToGrid w:val="0"/>
        <w:spacing w:line="560" w:lineRule="exact"/>
        <w:ind w:left="0" w:leftChars="0" w:firstLine="560" w:firstLineChars="200"/>
        <w:outlineLvl w:val="9"/>
        <w:rPr>
          <w:rFonts w:hint="eastAsia" w:ascii="仿宋" w:hAnsi="仿宋" w:eastAsia="仿宋" w:cstheme="minorBidi"/>
          <w:b w:val="0"/>
          <w:bCs w:val="0"/>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（三）查询</w:t>
      </w:r>
      <w:r>
        <w:rPr>
          <w:rFonts w:hint="eastAsia" w:ascii="仿宋" w:hAnsi="仿宋" w:eastAsia="仿宋"/>
          <w:color w:val="000000" w:themeColor="text1"/>
          <w:sz w:val="28"/>
          <w:szCs w:val="28"/>
          <w:highlight w:val="none"/>
          <w14:textFill>
            <w14:solidFill>
              <w14:schemeClr w14:val="tx1"/>
            </w14:solidFill>
          </w14:textFill>
        </w:rPr>
        <w:t>记录与证据留存：查询记录和证据将以网页截图、电子文档等形式进行留存</w:t>
      </w:r>
      <w:r>
        <w:rPr>
          <w:rFonts w:hint="eastAsia" w:ascii="仿宋" w:hAnsi="仿宋" w:eastAsia="仿宋"/>
          <w:color w:val="000000" w:themeColor="text1"/>
          <w:sz w:val="28"/>
          <w:szCs w:val="28"/>
          <w:highlight w:val="none"/>
          <w:lang w:eastAsia="zh-CN"/>
          <w14:textFill>
            <w14:solidFill>
              <w14:schemeClr w14:val="tx1"/>
            </w14:solidFill>
          </w14:textFill>
        </w:rPr>
        <w:t>。</w:t>
      </w:r>
    </w:p>
    <w:p w14:paraId="0704A49B">
      <w:pPr>
        <w:numPr>
          <w:ilvl w:val="0"/>
          <w:numId w:val="1"/>
        </w:numPr>
        <w:snapToGrid w:val="0"/>
        <w:spacing w:line="560" w:lineRule="exact"/>
        <w:outlineLvl w:val="1"/>
        <w:rPr>
          <w:rFonts w:hint="eastAsia" w:ascii="黑体" w:hAnsi="黑体" w:eastAsia="黑体" w:cs="黑体"/>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其他</w:t>
      </w:r>
    </w:p>
    <w:p w14:paraId="2A713304">
      <w:pPr>
        <w:numPr>
          <w:ilvl w:val="0"/>
          <w:numId w:val="8"/>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本次招标不组织投标人踏勘现场，请自行前往现场查看。</w:t>
      </w:r>
    </w:p>
    <w:p w14:paraId="0E36032F">
      <w:pPr>
        <w:numPr>
          <w:ilvl w:val="0"/>
          <w:numId w:val="8"/>
        </w:numPr>
        <w:snapToGrid w:val="0"/>
        <w:spacing w:line="560" w:lineRule="exact"/>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招标文件有关的质疑、答疑，统一以邮件的形式发送至招标文件领取时预留的邮箱。</w:t>
      </w:r>
    </w:p>
    <w:p w14:paraId="2FBAF693">
      <w:p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若你单位有意参加投标，请于截标时间前到达标书送达地点，并递交有关材料。</w:t>
      </w:r>
    </w:p>
    <w:p w14:paraId="6DBD7ACE">
      <w:p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p>
    <w:p w14:paraId="47E87274">
      <w:pPr>
        <w:snapToGrid w:val="0"/>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附件</w:t>
      </w:r>
      <w:r>
        <w:rPr>
          <w:rFonts w:hint="eastAsia" w:ascii="仿宋" w:hAnsi="仿宋" w:eastAsia="仿宋"/>
          <w:color w:val="000000" w:themeColor="text1"/>
          <w:sz w:val="28"/>
          <w:szCs w:val="28"/>
          <w:highlight w:val="none"/>
          <w14:textFill>
            <w14:solidFill>
              <w14:schemeClr w14:val="tx1"/>
            </w14:solidFill>
          </w14:textFill>
        </w:rPr>
        <w:t>：1</w:t>
      </w:r>
      <w:r>
        <w:rPr>
          <w:rFonts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投标承诺书</w:t>
      </w:r>
    </w:p>
    <w:p w14:paraId="396DA2F0">
      <w:pPr>
        <w:snapToGrid w:val="0"/>
        <w:spacing w:line="560" w:lineRule="exact"/>
        <w:ind w:firstLine="1400" w:firstLineChars="500"/>
        <w:rPr>
          <w:rFonts w:hint="eastAsia" w:ascii="仿宋" w:hAnsi="仿宋" w:eastAsia="仿宋"/>
          <w:color w:val="000000" w:themeColor="text1"/>
          <w:sz w:val="28"/>
          <w:szCs w:val="28"/>
          <w:highlight w:val="none"/>
          <w:u w:val="none"/>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2.中天综合楼质量提升项目（室内装修工程）施工合同（范本）</w:t>
      </w:r>
    </w:p>
    <w:p w14:paraId="4E556C59">
      <w:pPr>
        <w:snapToGrid w:val="0"/>
        <w:spacing w:line="560" w:lineRule="exact"/>
        <w:ind w:firstLine="1400" w:firstLineChars="500"/>
        <w:rPr>
          <w:rFonts w:hint="eastAsia" w:ascii="仿宋" w:hAnsi="仿宋" w:eastAsia="仿宋"/>
          <w:color w:val="000000" w:themeColor="text1"/>
          <w:sz w:val="28"/>
          <w:szCs w:val="28"/>
          <w:highlight w:val="none"/>
          <w:u w:val="none"/>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3.中天综合楼质量提升项目（室内装修工程）施工图</w:t>
      </w:r>
    </w:p>
    <w:p w14:paraId="3FD8DD31">
      <w:pPr>
        <w:snapToGrid w:val="0"/>
        <w:spacing w:line="560" w:lineRule="exact"/>
        <w:ind w:firstLine="1400" w:firstLineChars="500"/>
        <w:rPr>
          <w:rFonts w:hint="eastAsia" w:ascii="仿宋" w:hAnsi="仿宋" w:eastAsia="仿宋"/>
          <w:color w:val="000000" w:themeColor="text1"/>
          <w:sz w:val="28"/>
          <w:szCs w:val="28"/>
          <w:highlight w:val="none"/>
          <w:u w:val="none"/>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4.中天综合楼质量提升项目（室内装修工程）招标清单</w:t>
      </w:r>
    </w:p>
    <w:p w14:paraId="755B4A4A">
      <w:pPr>
        <w:snapToGrid w:val="0"/>
        <w:spacing w:line="560" w:lineRule="exact"/>
        <w:ind w:firstLine="1400" w:firstLineChars="500"/>
        <w:rPr>
          <w:rFonts w:hint="default" w:ascii="仿宋" w:hAnsi="仿宋" w:eastAsia="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olor w:val="000000" w:themeColor="text1"/>
          <w:sz w:val="28"/>
          <w:szCs w:val="28"/>
          <w:highlight w:val="none"/>
          <w:u w:val="none"/>
          <w:lang w:val="en-US" w:eastAsia="zh-CN"/>
          <w14:textFill>
            <w14:solidFill>
              <w14:schemeClr w14:val="tx1"/>
            </w14:solidFill>
          </w14:textFill>
        </w:rPr>
        <w:t>5.</w:t>
      </w:r>
      <w:r>
        <w:rPr>
          <w:rFonts w:hint="eastAsia" w:ascii="仿宋" w:hAnsi="仿宋" w:eastAsia="仿宋"/>
          <w:color w:val="000000" w:themeColor="text1"/>
          <w:sz w:val="28"/>
          <w:szCs w:val="28"/>
          <w:highlight w:val="none"/>
          <w:u w:val="none"/>
          <w14:textFill>
            <w14:solidFill>
              <w14:schemeClr w14:val="tx1"/>
            </w14:solidFill>
          </w14:textFill>
        </w:rPr>
        <w:t>中天综合楼质量提升项目（室内装修工程）</w:t>
      </w:r>
      <w:r>
        <w:rPr>
          <w:rFonts w:hint="eastAsia" w:ascii="仿宋" w:hAnsi="仿宋" w:eastAsia="仿宋"/>
          <w:color w:val="000000" w:themeColor="text1"/>
          <w:sz w:val="28"/>
          <w:szCs w:val="28"/>
          <w:highlight w:val="none"/>
          <w:u w:val="none"/>
          <w:lang w:val="en-US" w:eastAsia="zh-CN"/>
          <w14:textFill>
            <w14:solidFill>
              <w14:schemeClr w14:val="tx1"/>
            </w14:solidFill>
          </w14:textFill>
        </w:rPr>
        <w:t>招标控制价文件</w:t>
      </w:r>
    </w:p>
    <w:p w14:paraId="5B48B6D1">
      <w:pPr>
        <w:snapToGrid w:val="0"/>
        <w:spacing w:line="560" w:lineRule="exact"/>
        <w:ind w:firstLine="560" w:firstLineChars="200"/>
        <w:rPr>
          <w:rFonts w:hint="eastAsia" w:ascii="微软雅黑" w:hAnsi="微软雅黑" w:eastAsia="微软雅黑"/>
          <w:color w:val="000000" w:themeColor="text1"/>
          <w:sz w:val="28"/>
          <w:szCs w:val="28"/>
          <w:highlight w:val="none"/>
          <w:u w:val="none"/>
          <w14:textFill>
            <w14:solidFill>
              <w14:schemeClr w14:val="tx1"/>
            </w14:solidFill>
          </w14:textFill>
        </w:rPr>
      </w:pPr>
      <w:r>
        <w:rPr>
          <w:rFonts w:hint="eastAsia" w:ascii="仿宋" w:hAnsi="仿宋" w:eastAsia="仿宋"/>
          <w:color w:val="000000" w:themeColor="text1"/>
          <w:sz w:val="28"/>
          <w:szCs w:val="28"/>
          <w:highlight w:val="none"/>
          <w:u w:val="none"/>
          <w14:textFill>
            <w14:solidFill>
              <w14:schemeClr w14:val="tx1"/>
            </w14:solidFill>
          </w14:textFill>
        </w:rPr>
        <w:t xml:space="preserve"> </w:t>
      </w:r>
      <w:r>
        <w:rPr>
          <w:rFonts w:ascii="仿宋" w:hAnsi="仿宋" w:eastAsia="仿宋"/>
          <w:color w:val="000000" w:themeColor="text1"/>
          <w:sz w:val="28"/>
          <w:szCs w:val="28"/>
          <w:highlight w:val="none"/>
          <w:u w:val="none"/>
          <w14:textFill>
            <w14:solidFill>
              <w14:schemeClr w14:val="tx1"/>
            </w14:solidFill>
          </w14:textFill>
        </w:rPr>
        <w:t xml:space="preserve">     </w:t>
      </w:r>
    </w:p>
    <w:p w14:paraId="315759DD">
      <w:pPr>
        <w:snapToGrid w:val="0"/>
        <w:spacing w:line="560" w:lineRule="exact"/>
        <w:ind w:right="848" w:rightChars="404" w:firstLine="560" w:firstLineChars="200"/>
        <w:jc w:val="righ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深圳市中天实业有限公司</w:t>
      </w:r>
    </w:p>
    <w:p w14:paraId="542DDAEB">
      <w:pPr>
        <w:snapToGrid w:val="0"/>
        <w:ind w:right="1315" w:rightChars="626" w:firstLine="3780" w:firstLineChars="1350"/>
        <w:jc w:val="center"/>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r>
        <w:rPr>
          <w:rFonts w:ascii="仿宋" w:hAnsi="仿宋" w:eastAsia="仿宋"/>
          <w:color w:val="000000" w:themeColor="text1"/>
          <w:sz w:val="28"/>
          <w:szCs w:val="28"/>
          <w:highlight w:val="none"/>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ascii="仿宋" w:hAnsi="仿宋" w:eastAsia="仿宋"/>
          <w:color w:val="000000" w:themeColor="text1"/>
          <w:sz w:val="28"/>
          <w:szCs w:val="28"/>
          <w:highlight w:val="none"/>
          <w14:textFill>
            <w14:solidFill>
              <w14:schemeClr w14:val="tx1"/>
            </w14:solidFill>
          </w14:textFill>
        </w:rPr>
        <w:t>日</w:t>
      </w:r>
    </w:p>
    <w:p w14:paraId="46707971">
      <w:pPr>
        <w:snapToGrid w:val="0"/>
        <w:ind w:right="1315" w:rightChars="626" w:firstLine="3780" w:firstLineChars="1350"/>
        <w:jc w:val="center"/>
        <w:rPr>
          <w:rFonts w:hint="eastAsia" w:ascii="仿宋" w:hAnsi="仿宋" w:eastAsia="仿宋"/>
          <w:color w:val="000000" w:themeColor="text1"/>
          <w:sz w:val="28"/>
          <w:szCs w:val="28"/>
          <w:highlight w:val="none"/>
          <w14:textFill>
            <w14:solidFill>
              <w14:schemeClr w14:val="tx1"/>
            </w14:solidFill>
          </w14:textFill>
        </w:rPr>
      </w:pPr>
    </w:p>
    <w:p w14:paraId="56E54396">
      <w:pPr>
        <w:snapToGrid w:val="0"/>
        <w:ind w:right="31" w:rightChars="15"/>
        <w:jc w:val="center"/>
        <w:rPr>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联系人：</w:t>
      </w:r>
      <w:r>
        <w:rPr>
          <w:rFonts w:hint="eastAsia" w:ascii="仿宋" w:hAnsi="仿宋" w:eastAsia="仿宋"/>
          <w:color w:val="000000" w:themeColor="text1"/>
          <w:sz w:val="28"/>
          <w:szCs w:val="28"/>
          <w:highlight w:val="none"/>
          <w14:textFill>
            <w14:solidFill>
              <w14:schemeClr w14:val="tx1"/>
            </w14:solidFill>
          </w14:textFill>
        </w:rPr>
        <w:t>林工；</w:t>
      </w:r>
      <w:r>
        <w:rPr>
          <w:rFonts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14:textFill>
            <w14:solidFill>
              <w14:schemeClr w14:val="tx1"/>
            </w14:solidFill>
          </w14:textFill>
        </w:rPr>
        <w:t>0755-</w:t>
      </w:r>
      <w:r>
        <w:rPr>
          <w:rFonts w:hint="eastAsia" w:ascii="仿宋" w:hAnsi="仿宋" w:eastAsia="仿宋"/>
          <w:color w:val="000000" w:themeColor="text1"/>
          <w:sz w:val="28"/>
          <w:szCs w:val="28"/>
          <w:highlight w:val="none"/>
          <w:lang w:val="en-US" w:eastAsia="zh-CN"/>
          <w14:textFill>
            <w14:solidFill>
              <w14:schemeClr w14:val="tx1"/>
            </w14:solidFill>
          </w14:textFill>
        </w:rPr>
        <w:t>83989304转8885</w:t>
      </w:r>
      <w:r>
        <w:rPr>
          <w:rFonts w:hint="eastAsia" w:ascii="仿宋" w:hAnsi="仿宋" w:eastAsia="仿宋"/>
          <w:color w:val="000000" w:themeColor="text1"/>
          <w:sz w:val="28"/>
          <w:szCs w:val="28"/>
          <w:highlight w:val="none"/>
          <w14:textFill>
            <w14:solidFill>
              <w14:schemeClr w14:val="tx1"/>
            </w14:solidFill>
          </w14:textFill>
        </w:rPr>
        <w:t>；邮箱：linxl@tellus.cn）</w:t>
      </w:r>
    </w:p>
    <w:p w14:paraId="595E1CD7">
      <w:pPr>
        <w:snapToGrid w:val="0"/>
        <w:rPr>
          <w:rFonts w:hint="eastAsia" w:ascii="微软雅黑" w:hAnsi="微软雅黑" w:eastAsia="微软雅黑"/>
          <w:color w:val="000000" w:themeColor="text1"/>
          <w:sz w:val="28"/>
          <w:szCs w:val="28"/>
          <w:highlight w:val="none"/>
          <w14:textFill>
            <w14:solidFill>
              <w14:schemeClr w14:val="tx1"/>
            </w14:solidFill>
          </w14:textFill>
        </w:rPr>
      </w:pPr>
    </w:p>
    <w:p w14:paraId="484F5C7F">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br w:type="page"/>
      </w:r>
    </w:p>
    <w:p w14:paraId="160C6512">
      <w:pP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附件1</w:t>
      </w:r>
    </w:p>
    <w:p w14:paraId="5C5DACDC">
      <w:pPr>
        <w:snapToGrid w:val="0"/>
        <w:spacing w:line="360" w:lineRule="auto"/>
        <w:jc w:val="center"/>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投标承诺书</w:t>
      </w:r>
    </w:p>
    <w:p w14:paraId="79F3833A">
      <w:pPr>
        <w:snapToGrid w:val="0"/>
        <w:spacing w:line="560" w:lineRule="exact"/>
        <w:ind w:right="848" w:rightChars="404"/>
        <w:jc w:val="left"/>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致：深圳市中天实业有限公司</w:t>
      </w:r>
    </w:p>
    <w:p w14:paraId="5B3B8606">
      <w:pPr>
        <w:snapToGrid w:val="0"/>
        <w:ind w:firstLine="480" w:firstLineChars="20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很高兴有机会参与贵司的</w:t>
      </w:r>
      <w:r>
        <w:rPr>
          <w:rFonts w:hint="eastAsia" w:ascii="仿宋" w:hAnsi="仿宋" w:eastAsia="仿宋"/>
          <w:color w:val="000000" w:themeColor="text1"/>
          <w:sz w:val="24"/>
          <w:szCs w:val="24"/>
          <w:highlight w:val="none"/>
          <w:u w:val="single"/>
          <w14:textFill>
            <w14:solidFill>
              <w14:schemeClr w14:val="tx1"/>
            </w14:solidFill>
          </w14:textFill>
        </w:rPr>
        <w:t>中天综合楼质量提升项目（室内装修工程）</w:t>
      </w:r>
      <w:r>
        <w:rPr>
          <w:rFonts w:hint="eastAsia" w:ascii="仿宋" w:hAnsi="仿宋" w:eastAsia="仿宋" w:cs="仿宋"/>
          <w:color w:val="000000" w:themeColor="text1"/>
          <w:sz w:val="24"/>
          <w:szCs w:val="24"/>
          <w:highlight w:val="none"/>
          <w14:textFill>
            <w14:solidFill>
              <w14:schemeClr w14:val="tx1"/>
            </w14:solidFill>
          </w14:textFill>
        </w:rPr>
        <w:t>的投标，我司已于202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日收到贵司所发的</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olor w:val="000000" w:themeColor="text1"/>
          <w:sz w:val="24"/>
          <w:szCs w:val="24"/>
          <w:highlight w:val="none"/>
          <w:u w:val="single"/>
          <w14:textFill>
            <w14:solidFill>
              <w14:schemeClr w14:val="tx1"/>
            </w14:solidFill>
          </w14:textFill>
        </w:rPr>
        <w:t>中天综合楼质量提升项目（室内装修工程）</w:t>
      </w:r>
      <w:r>
        <w:rPr>
          <w:rFonts w:hint="eastAsia" w:ascii="仿宋" w:hAnsi="仿宋" w:eastAsia="仿宋" w:cs="仿宋"/>
          <w:color w:val="000000" w:themeColor="text1"/>
          <w:sz w:val="24"/>
          <w:szCs w:val="24"/>
          <w:highlight w:val="none"/>
          <w:u w:val="single"/>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。经研究决定，我司在此郑重承诺：</w:t>
      </w:r>
    </w:p>
    <w:p w14:paraId="2BA7699F">
      <w:pPr>
        <w:numPr>
          <w:ilvl w:val="0"/>
          <w:numId w:val="9"/>
        </w:numPr>
        <w:snapToGrid w:val="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我司</w:t>
      </w:r>
      <w:r>
        <w:rPr>
          <w:rFonts w:hint="eastAsia" w:ascii="仿宋" w:hAnsi="仿宋" w:eastAsia="仿宋" w:cs="仿宋"/>
          <w:b/>
          <w:bCs/>
          <w:color w:val="000000" w:themeColor="text1"/>
          <w:sz w:val="24"/>
          <w:szCs w:val="24"/>
          <w:highlight w:val="none"/>
          <w14:textFill>
            <w14:solidFill>
              <w14:schemeClr w14:val="tx1"/>
            </w14:solidFill>
          </w14:textFill>
        </w:rPr>
        <w:t>投标含税报价</w:t>
      </w:r>
      <w:r>
        <w:rPr>
          <w:rFonts w:hint="eastAsia" w:ascii="仿宋" w:hAnsi="仿宋" w:eastAsia="仿宋" w:cs="仿宋"/>
          <w:color w:val="000000" w:themeColor="text1"/>
          <w:sz w:val="24"/>
          <w:szCs w:val="24"/>
          <w:highlight w:val="none"/>
          <w14:textFill>
            <w14:solidFill>
              <w14:schemeClr w14:val="tx1"/>
            </w14:solidFill>
          </w14:textFill>
        </w:rPr>
        <w:t>为人民币：</w:t>
      </w:r>
      <w:r>
        <w:rPr>
          <w:rFonts w:hint="eastAsia" w:ascii="仿宋" w:hAnsi="仿宋" w:eastAsia="仿宋" w:cs="仿宋"/>
          <w:b/>
          <w:bCs/>
          <w:color w:val="000000" w:themeColor="text1"/>
          <w:sz w:val="24"/>
          <w:szCs w:val="24"/>
          <w:highlight w:val="none"/>
          <w:u w:val="single"/>
          <w14:textFill>
            <w14:solidFill>
              <w14:schemeClr w14:val="tx1"/>
            </w14:solidFill>
          </w14:textFill>
        </w:rPr>
        <w:t>（投标单位填写）</w:t>
      </w:r>
      <w:r>
        <w:rPr>
          <w:rFonts w:hint="eastAsia" w:ascii="仿宋" w:hAnsi="仿宋" w:eastAsia="仿宋" w:cs="仿宋"/>
          <w:color w:val="000000" w:themeColor="text1"/>
          <w:sz w:val="24"/>
          <w:szCs w:val="24"/>
          <w:highlight w:val="none"/>
          <w14:textFill>
            <w14:solidFill>
              <w14:schemeClr w14:val="tx1"/>
            </w14:solidFill>
          </w14:textFill>
        </w:rPr>
        <w:t>元（小写：￥</w:t>
      </w:r>
      <w:r>
        <w:rPr>
          <w:rFonts w:hint="eastAsia" w:ascii="仿宋" w:hAnsi="仿宋" w:eastAsia="仿宋" w:cs="仿宋"/>
          <w:b/>
          <w:bCs/>
          <w:color w:val="000000" w:themeColor="text1"/>
          <w:sz w:val="24"/>
          <w:szCs w:val="24"/>
          <w:highlight w:val="none"/>
          <w:u w:val="single"/>
          <w14:textFill>
            <w14:solidFill>
              <w14:schemeClr w14:val="tx1"/>
            </w14:solidFill>
          </w14:textFill>
        </w:rPr>
        <w:t>（投标单位填写）</w:t>
      </w:r>
      <w:r>
        <w:rPr>
          <w:rFonts w:hint="eastAsia" w:ascii="仿宋" w:hAnsi="仿宋" w:eastAsia="仿宋" w:cs="仿宋"/>
          <w:color w:val="000000" w:themeColor="text1"/>
          <w:sz w:val="24"/>
          <w:szCs w:val="24"/>
          <w:highlight w:val="none"/>
          <w14:textFill>
            <w14:solidFill>
              <w14:schemeClr w14:val="tx1"/>
            </w14:solidFill>
          </w14:textFill>
        </w:rPr>
        <w:t>元），税率为</w:t>
      </w:r>
      <w:r>
        <w:rPr>
          <w:rFonts w:hint="eastAsia" w:ascii="仿宋" w:hAnsi="仿宋" w:eastAsia="仿宋" w:cs="仿宋"/>
          <w:b/>
          <w:bCs/>
          <w:color w:val="000000" w:themeColor="text1"/>
          <w:sz w:val="24"/>
          <w:szCs w:val="24"/>
          <w:highlight w:val="none"/>
          <w:u w:val="single"/>
          <w14:textFill>
            <w14:solidFill>
              <w14:schemeClr w14:val="tx1"/>
            </w14:solidFill>
          </w14:textFill>
        </w:rPr>
        <w:t>（投标单位填写）</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。工期</w:t>
      </w:r>
      <w:r>
        <w:rPr>
          <w:rFonts w:hint="eastAsia" w:ascii="仿宋" w:hAnsi="仿宋" w:eastAsia="仿宋" w:cs="仿宋"/>
          <w:b/>
          <w:bCs/>
          <w:color w:val="000000" w:themeColor="text1"/>
          <w:sz w:val="24"/>
          <w:szCs w:val="24"/>
          <w:highlight w:val="none"/>
          <w:u w:val="single"/>
          <w14:textFill>
            <w14:solidFill>
              <w14:schemeClr w14:val="tx1"/>
            </w14:solidFill>
          </w14:textFill>
        </w:rPr>
        <w:t>（投标单位填写）</w:t>
      </w:r>
      <w:r>
        <w:rPr>
          <w:rFonts w:hint="eastAsia" w:ascii="仿宋" w:hAnsi="仿宋" w:eastAsia="仿宋" w:cs="仿宋"/>
          <w:color w:val="000000" w:themeColor="text1"/>
          <w:sz w:val="24"/>
          <w:szCs w:val="24"/>
          <w:highlight w:val="none"/>
          <w14:textFill>
            <w14:solidFill>
              <w14:schemeClr w14:val="tx1"/>
            </w14:solidFill>
          </w14:textFill>
        </w:rPr>
        <w:t>日历天。我司已经详细阅读该招标文件所有内容，充分领会并完全接受招标文件所述投标方应尽的实质性的权利与义务。我司保证不会对招标文件产生不利于双方友好合作关系和将增加贵司招标范围内经济支出的重大误解。</w:t>
      </w:r>
    </w:p>
    <w:p w14:paraId="3647B56A">
      <w:pPr>
        <w:numPr>
          <w:ilvl w:val="0"/>
          <w:numId w:val="9"/>
        </w:numPr>
        <w:snapToGrid w:val="0"/>
        <w:spacing w:after="3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我司确认，贵司发出的招标文件所有内容为不可割裂的整体。</w:t>
      </w:r>
    </w:p>
    <w:p w14:paraId="76AF1AFC">
      <w:pPr>
        <w:numPr>
          <w:ilvl w:val="0"/>
          <w:numId w:val="9"/>
        </w:numPr>
        <w:snapToGrid w:val="0"/>
        <w:spacing w:after="3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我司履行合同文件所约定的一切相关职责。</w:t>
      </w:r>
    </w:p>
    <w:p w14:paraId="0B446804">
      <w:pPr>
        <w:numPr>
          <w:ilvl w:val="0"/>
          <w:numId w:val="9"/>
        </w:numPr>
        <w:snapToGrid w:val="0"/>
        <w:spacing w:after="3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我司保证中标后不会对中标价格提出任何异议，更不会以任何理由要求贵司针对中标范围的价款要求额外补偿。</w:t>
      </w:r>
      <w:r>
        <w:rPr>
          <w:rFonts w:hint="eastAsia" w:ascii="仿宋" w:hAnsi="仿宋" w:eastAsia="仿宋" w:cs="仿宋"/>
          <w:color w:val="000000" w:themeColor="text1"/>
          <w:sz w:val="24"/>
          <w:szCs w:val="24"/>
          <w:highlight w:val="none"/>
          <w14:textFill>
            <w14:solidFill>
              <w14:schemeClr w14:val="tx1"/>
            </w14:solidFill>
          </w14:textFill>
        </w:rPr>
        <w:t>不会以不了解招标文件、合同文件为由或曲解、片面理解招标文件、合同文件或割裂招标文件、合同文件，断章取义，向贵司提出任何补偿要求。</w:t>
      </w:r>
    </w:p>
    <w:p w14:paraId="0CED2F11">
      <w:pPr>
        <w:numPr>
          <w:ilvl w:val="0"/>
          <w:numId w:val="9"/>
        </w:numPr>
        <w:snapToGrid w:val="0"/>
        <w:spacing w:after="3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在本工程的履约过程中，如因我司的货物质量、供货时间等未达到贵我双方签署的合同中所约定的目标及贵司根据工程进展而做出的调整的要求时，我司保证承担因此而给贵司带来的所有经济上的损失。</w:t>
      </w:r>
    </w:p>
    <w:p w14:paraId="00BB6225">
      <w:pPr>
        <w:numPr>
          <w:ilvl w:val="0"/>
          <w:numId w:val="9"/>
        </w:numPr>
        <w:snapToGrid w:val="0"/>
        <w:spacing w:after="3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司将本工程作为重点项目对待，保证不会出现资金、人员不能满足施工需要的现象。为满足本工程业主及贵司在质量、进度、安全、环保上的要求，我司将采取一切措施保证各项资源满足贵司的要求，并保证不会因此而向贵司提出增加任何补偿要求。</w:t>
      </w:r>
    </w:p>
    <w:p w14:paraId="6735A511">
      <w:pPr>
        <w:numPr>
          <w:ilvl w:val="0"/>
          <w:numId w:val="9"/>
        </w:numPr>
        <w:snapToGrid w:val="0"/>
        <w:spacing w:after="3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我司承诺无论本工程最终的成本状况如何，将不会违背合同基本原则而向贵司要求增加或补偿合同文件约定以外的任何费用。</w:t>
      </w:r>
    </w:p>
    <w:p w14:paraId="73026405">
      <w:pPr>
        <w:numPr>
          <w:ilvl w:val="0"/>
          <w:numId w:val="9"/>
        </w:numPr>
        <w:snapToGrid w:val="0"/>
        <w:spacing w:after="3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经我司投标组人员研究决定：我方投标单价为报价单价格，如非遇特殊情况，此单价不再更改。</w:t>
      </w:r>
    </w:p>
    <w:p w14:paraId="0D169422">
      <w:pPr>
        <w:snapToGrid w:val="0"/>
        <w:spacing w:after="30"/>
        <w:rPr>
          <w:rFonts w:hint="eastAsia" w:ascii="仿宋" w:hAnsi="仿宋" w:eastAsia="仿宋" w:cs="仿宋"/>
          <w:color w:val="000000" w:themeColor="text1"/>
          <w:sz w:val="22"/>
          <w:highlight w:val="none"/>
          <w14:textFill>
            <w14:solidFill>
              <w14:schemeClr w14:val="tx1"/>
            </w14:solidFill>
          </w14:textFill>
        </w:rPr>
      </w:pPr>
    </w:p>
    <w:p w14:paraId="57AD74B3">
      <w:pPr>
        <w:snapToGrid w:val="0"/>
        <w:spacing w:after="3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公司名称（加盖公章）</w:t>
      </w:r>
    </w:p>
    <w:p w14:paraId="222B1BC1">
      <w:pPr>
        <w:widowControl/>
        <w:jc w:val="left"/>
        <w:rPr>
          <w:rFonts w:hint="eastAsia" w:ascii="仿宋" w:hAnsi="仿宋" w:eastAsia="仿宋" w:cs="仿宋"/>
          <w:color w:val="000000" w:themeColor="text1"/>
          <w:sz w:val="24"/>
          <w:szCs w:val="24"/>
          <w:highlight w:val="none"/>
          <w14:textFill>
            <w14:solidFill>
              <w14:schemeClr w14:val="tx1"/>
            </w14:solidFill>
          </w14:textFill>
        </w:rPr>
      </w:pPr>
    </w:p>
    <w:p w14:paraId="70CCD3F7">
      <w:pPr>
        <w:widowControl/>
        <w:jc w:val="left"/>
        <w:rPr>
          <w:rFonts w:hint="eastAsia" w:ascii="仿宋" w:hAnsi="仿宋" w:eastAsia="仿宋" w:cs="仿宋"/>
          <w:color w:val="000000" w:themeColor="text1"/>
          <w:sz w:val="24"/>
          <w:szCs w:val="24"/>
          <w:highlight w:val="none"/>
          <w14:textFill>
            <w14:solidFill>
              <w14:schemeClr w14:val="tx1"/>
            </w14:solidFill>
          </w14:textFill>
        </w:rPr>
      </w:pPr>
    </w:p>
    <w:p w14:paraId="1CFAFA39">
      <w:pPr>
        <w:widowControl/>
        <w:jc w:val="left"/>
        <w:rPr>
          <w:rFonts w:hint="eastAsia" w:ascii="仿宋" w:hAnsi="仿宋" w:eastAsia="仿宋" w:cs="仿宋"/>
          <w:color w:val="000000" w:themeColor="text1"/>
          <w:sz w:val="24"/>
          <w:szCs w:val="24"/>
          <w:highlight w:val="none"/>
          <w14:textFill>
            <w14:solidFill>
              <w14:schemeClr w14:val="tx1"/>
            </w14:solidFill>
          </w14:textFill>
        </w:rPr>
      </w:pPr>
    </w:p>
    <w:p w14:paraId="73FB67FE">
      <w:pPr>
        <w:widowControl/>
        <w:jc w:val="left"/>
        <w:rPr>
          <w:rFonts w:hint="eastAsia" w:ascii="仿宋" w:hAnsi="仿宋" w:eastAsia="仿宋" w:cs="仿宋"/>
          <w:color w:val="000000" w:themeColor="text1"/>
          <w:sz w:val="24"/>
          <w:szCs w:val="24"/>
          <w:highlight w:val="none"/>
          <w14:textFill>
            <w14:solidFill>
              <w14:schemeClr w14:val="tx1"/>
            </w14:solidFill>
          </w14:textFill>
        </w:rPr>
      </w:pPr>
    </w:p>
    <w:p w14:paraId="7EF1F0ED">
      <w:pPr>
        <w:widowControl/>
        <w:jc w:val="left"/>
        <w:rPr>
          <w:rFonts w:hint="eastAsia" w:ascii="仿宋" w:hAnsi="仿宋" w:eastAsia="仿宋" w:cs="仿宋"/>
          <w:color w:val="000000" w:themeColor="text1"/>
          <w:sz w:val="24"/>
          <w:szCs w:val="24"/>
          <w:highlight w:val="none"/>
          <w14:textFill>
            <w14:solidFill>
              <w14:schemeClr w14:val="tx1"/>
            </w14:solidFill>
          </w14:textFill>
        </w:rPr>
      </w:pPr>
      <w:bookmarkStart w:id="2" w:name="_GoBack"/>
      <w:bookmarkEnd w:id="2"/>
    </w:p>
    <w:p w14:paraId="0BDBC0DF">
      <w:pPr>
        <w:widowControl/>
        <w:jc w:val="left"/>
        <w:rPr>
          <w:rFonts w:hint="eastAsia" w:ascii="仿宋" w:hAnsi="仿宋" w:eastAsia="仿宋" w:cs="仿宋"/>
          <w:color w:val="000000" w:themeColor="text1"/>
          <w:sz w:val="24"/>
          <w:szCs w:val="24"/>
          <w:highlight w:val="none"/>
          <w14:textFill>
            <w14:solidFill>
              <w14:schemeClr w14:val="tx1"/>
            </w14:solidFill>
          </w14:textFill>
        </w:rPr>
      </w:pPr>
    </w:p>
    <w:p w14:paraId="338C5770">
      <w:pPr>
        <w:widowControl/>
        <w:jc w:val="left"/>
        <w:rPr>
          <w:rFonts w:hint="eastAsia" w:ascii="仿宋" w:hAnsi="仿宋" w:eastAsia="仿宋" w:cs="仿宋"/>
          <w:color w:val="000000" w:themeColor="text1"/>
          <w:sz w:val="24"/>
          <w:szCs w:val="24"/>
          <w:highlight w:val="none"/>
          <w14:textFill>
            <w14:solidFill>
              <w14:schemeClr w14:val="tx1"/>
            </w14:solidFill>
          </w14:textFill>
        </w:rPr>
      </w:pPr>
    </w:p>
    <w:p w14:paraId="0AD888CA">
      <w:pPr>
        <w:rPr>
          <w:rFonts w:hint="eastAsia" w:ascii="仿宋" w:hAnsi="仿宋" w:eastAsia="仿宋" w:cs="仿宋"/>
          <w:color w:val="000000" w:themeColor="text1"/>
          <w:sz w:val="24"/>
          <w:szCs w:val="24"/>
          <w:highlight w:val="none"/>
          <w14:textFill>
            <w14:solidFill>
              <w14:schemeClr w14:val="tx1"/>
            </w14:solidFill>
          </w14:textFill>
        </w:rPr>
        <w:sectPr>
          <w:footerReference r:id="rId3" w:type="default"/>
          <w:pgSz w:w="11906" w:h="16838"/>
          <w:pgMar w:top="1361" w:right="1417" w:bottom="1361" w:left="1417" w:header="851" w:footer="992" w:gutter="0"/>
          <w:cols w:space="425" w:num="1"/>
          <w:docGrid w:type="lines" w:linePitch="312" w:charSpace="0"/>
        </w:sectPr>
      </w:pPr>
    </w:p>
    <w:p w14:paraId="22E27900">
      <w:pPr>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附件2</w:t>
      </w:r>
    </w:p>
    <w:p w14:paraId="17CD8FF3">
      <w:pPr>
        <w:widowControl/>
        <w:jc w:val="left"/>
        <w:rPr>
          <w:rFonts w:hint="eastAsia" w:ascii="宋体" w:hAnsi="宋体" w:eastAsia="宋体"/>
          <w:color w:val="000000" w:themeColor="text1"/>
          <w:sz w:val="24"/>
          <w:szCs w:val="24"/>
          <w:highlight w:val="none"/>
          <w14:textFill>
            <w14:solidFill>
              <w14:schemeClr w14:val="tx1"/>
            </w14:solidFill>
          </w14:textFill>
        </w:rPr>
      </w:pPr>
      <w:bookmarkStart w:id="0" w:name="bookmark27"/>
      <w:bookmarkEnd w:id="0"/>
    </w:p>
    <w:p w14:paraId="6CEB22DD">
      <w:pPr>
        <w:pStyle w:val="2"/>
        <w:snapToGrid w:val="0"/>
        <w:spacing w:line="300" w:lineRule="auto"/>
        <w:ind w:firstLine="5060" w:firstLineChars="1800"/>
        <w:jc w:val="both"/>
        <w:rPr>
          <w:rFonts w:hint="eastAsia" w:ascii="微软雅黑" w:hAnsi="微软雅黑" w:eastAsia="微软雅黑"/>
          <w:color w:val="000000" w:themeColor="text1"/>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合同编号:</w:t>
      </w:r>
    </w:p>
    <w:p w14:paraId="249A8DE1">
      <w:pPr>
        <w:pStyle w:val="2"/>
        <w:snapToGrid w:val="0"/>
        <w:jc w:val="both"/>
        <w:rPr>
          <w:rFonts w:ascii="宋体"/>
          <w:color w:val="000000" w:themeColor="text1"/>
          <w:sz w:val="44"/>
          <w:highlight w:val="none"/>
          <w14:textFill>
            <w14:solidFill>
              <w14:schemeClr w14:val="tx1"/>
            </w14:solidFill>
          </w14:textFill>
        </w:rPr>
      </w:pPr>
      <w:bookmarkStart w:id="1" w:name="_Toc14347"/>
    </w:p>
    <w:p w14:paraId="34F0A2F5">
      <w:pPr>
        <w:pStyle w:val="2"/>
        <w:snapToGrid w:val="0"/>
        <w:jc w:val="center"/>
        <w:rPr>
          <w:rFonts w:ascii="宋体"/>
          <w:color w:val="000000" w:themeColor="text1"/>
          <w:sz w:val="44"/>
          <w:highlight w:val="none"/>
          <w14:textFill>
            <w14:solidFill>
              <w14:schemeClr w14:val="tx1"/>
            </w14:solidFill>
          </w14:textFill>
        </w:rPr>
      </w:pPr>
    </w:p>
    <w:p w14:paraId="58D41EEE">
      <w:pPr>
        <w:pStyle w:val="2"/>
        <w:snapToGrid w:val="0"/>
        <w:jc w:val="center"/>
        <w:rPr>
          <w:rFonts w:ascii="宋体"/>
          <w:color w:val="000000" w:themeColor="text1"/>
          <w:sz w:val="44"/>
          <w:highlight w:val="none"/>
          <w14:textFill>
            <w14:solidFill>
              <w14:schemeClr w14:val="tx1"/>
            </w14:solidFill>
          </w14:textFill>
        </w:rPr>
      </w:pPr>
    </w:p>
    <w:p w14:paraId="60C19853">
      <w:pPr>
        <w:pStyle w:val="2"/>
        <w:snapToGrid w:val="0"/>
        <w:jc w:val="center"/>
        <w:rPr>
          <w:rFonts w:hint="eastAsia" w:ascii="宋体"/>
          <w:color w:val="000000" w:themeColor="text1"/>
          <w:sz w:val="44"/>
          <w:highlight w:val="none"/>
          <w14:textFill>
            <w14:solidFill>
              <w14:schemeClr w14:val="tx1"/>
            </w14:solidFill>
          </w14:textFill>
        </w:rPr>
      </w:pPr>
      <w:r>
        <w:rPr>
          <w:rFonts w:hint="eastAsia" w:ascii="宋体"/>
          <w:color w:val="000000" w:themeColor="text1"/>
          <w:sz w:val="44"/>
          <w:highlight w:val="none"/>
          <w14:textFill>
            <w14:solidFill>
              <w14:schemeClr w14:val="tx1"/>
            </w14:solidFill>
          </w14:textFill>
        </w:rPr>
        <w:t>中天综合楼质量提升项目（室内装修工程）</w:t>
      </w:r>
    </w:p>
    <w:p w14:paraId="5C2D76AE">
      <w:pPr>
        <w:pStyle w:val="2"/>
        <w:snapToGrid w:val="0"/>
        <w:jc w:val="center"/>
        <w:rPr>
          <w:rFonts w:ascii="宋体"/>
          <w:color w:val="000000" w:themeColor="text1"/>
          <w:sz w:val="44"/>
          <w:highlight w:val="none"/>
          <w14:textFill>
            <w14:solidFill>
              <w14:schemeClr w14:val="tx1"/>
            </w14:solidFill>
          </w14:textFill>
        </w:rPr>
      </w:pPr>
      <w:r>
        <w:rPr>
          <w:rFonts w:hint="eastAsia" w:ascii="宋体"/>
          <w:color w:val="000000" w:themeColor="text1"/>
          <w:sz w:val="44"/>
          <w:highlight w:val="none"/>
          <w14:textFill>
            <w14:solidFill>
              <w14:schemeClr w14:val="tx1"/>
            </w14:solidFill>
          </w14:textFill>
        </w:rPr>
        <w:t>施工合同</w:t>
      </w:r>
    </w:p>
    <w:p w14:paraId="04B3CE9F">
      <w:pPr>
        <w:pStyle w:val="2"/>
        <w:snapToGrid w:val="0"/>
        <w:jc w:val="center"/>
        <w:rPr>
          <w:rFonts w:ascii="宋体"/>
          <w:color w:val="000000" w:themeColor="text1"/>
          <w:sz w:val="44"/>
          <w:highlight w:val="none"/>
          <w14:textFill>
            <w14:solidFill>
              <w14:schemeClr w14:val="tx1"/>
            </w14:solidFill>
          </w14:textFill>
        </w:rPr>
      </w:pPr>
    </w:p>
    <w:p w14:paraId="01F5628D">
      <w:pPr>
        <w:rPr>
          <w:color w:val="000000" w:themeColor="text1"/>
          <w:highlight w:val="none"/>
          <w14:textFill>
            <w14:solidFill>
              <w14:schemeClr w14:val="tx1"/>
            </w14:solidFill>
          </w14:textFill>
        </w:rPr>
      </w:pPr>
    </w:p>
    <w:p w14:paraId="093819CA">
      <w:pPr>
        <w:rPr>
          <w:color w:val="000000" w:themeColor="text1"/>
          <w:highlight w:val="none"/>
          <w14:textFill>
            <w14:solidFill>
              <w14:schemeClr w14:val="tx1"/>
            </w14:solidFill>
          </w14:textFill>
        </w:rPr>
      </w:pPr>
    </w:p>
    <w:p w14:paraId="4E9ABF59">
      <w:pPr>
        <w:rPr>
          <w:color w:val="000000" w:themeColor="text1"/>
          <w:highlight w:val="none"/>
          <w14:textFill>
            <w14:solidFill>
              <w14:schemeClr w14:val="tx1"/>
            </w14:solidFill>
          </w14:textFill>
        </w:rPr>
      </w:pPr>
    </w:p>
    <w:p w14:paraId="46946CEF">
      <w:pPr>
        <w:rPr>
          <w:color w:val="000000" w:themeColor="text1"/>
          <w:highlight w:val="none"/>
          <w14:textFill>
            <w14:solidFill>
              <w14:schemeClr w14:val="tx1"/>
            </w14:solidFill>
          </w14:textFill>
        </w:rPr>
      </w:pPr>
    </w:p>
    <w:p w14:paraId="30F58DDC">
      <w:pPr>
        <w:rPr>
          <w:color w:val="000000" w:themeColor="text1"/>
          <w:highlight w:val="none"/>
          <w14:textFill>
            <w14:solidFill>
              <w14:schemeClr w14:val="tx1"/>
            </w14:solidFill>
          </w14:textFill>
        </w:rPr>
      </w:pPr>
    </w:p>
    <w:p w14:paraId="3A8AFC9E">
      <w:pPr>
        <w:rPr>
          <w:color w:val="000000" w:themeColor="text1"/>
          <w:highlight w:val="none"/>
          <w14:textFill>
            <w14:solidFill>
              <w14:schemeClr w14:val="tx1"/>
            </w14:solidFill>
          </w14:textFill>
        </w:rPr>
      </w:pPr>
    </w:p>
    <w:p w14:paraId="34608866">
      <w:pPr>
        <w:rPr>
          <w:color w:val="000000" w:themeColor="text1"/>
          <w:highlight w:val="none"/>
          <w14:textFill>
            <w14:solidFill>
              <w14:schemeClr w14:val="tx1"/>
            </w14:solidFill>
          </w14:textFill>
        </w:rPr>
      </w:pPr>
    </w:p>
    <w:p w14:paraId="04458C85">
      <w:pPr>
        <w:rPr>
          <w:color w:val="000000" w:themeColor="text1"/>
          <w:highlight w:val="none"/>
          <w14:textFill>
            <w14:solidFill>
              <w14:schemeClr w14:val="tx1"/>
            </w14:solidFill>
          </w14:textFill>
        </w:rPr>
      </w:pPr>
    </w:p>
    <w:p w14:paraId="0FA9A990">
      <w:pPr>
        <w:rPr>
          <w:color w:val="000000" w:themeColor="text1"/>
          <w:highlight w:val="none"/>
          <w14:textFill>
            <w14:solidFill>
              <w14:schemeClr w14:val="tx1"/>
            </w14:solidFill>
          </w14:textFill>
        </w:rPr>
      </w:pPr>
    </w:p>
    <w:p w14:paraId="56F0563A">
      <w:pPr>
        <w:rPr>
          <w:color w:val="000000" w:themeColor="text1"/>
          <w:highlight w:val="none"/>
          <w14:textFill>
            <w14:solidFill>
              <w14:schemeClr w14:val="tx1"/>
            </w14:solidFill>
          </w14:textFill>
        </w:rPr>
      </w:pPr>
    </w:p>
    <w:p w14:paraId="759ACE93">
      <w:pPr>
        <w:rPr>
          <w:color w:val="000000" w:themeColor="text1"/>
          <w:highlight w:val="none"/>
          <w14:textFill>
            <w14:solidFill>
              <w14:schemeClr w14:val="tx1"/>
            </w14:solidFill>
          </w14:textFill>
        </w:rPr>
      </w:pPr>
    </w:p>
    <w:p w14:paraId="601EC997">
      <w:pPr>
        <w:snapToGrid w:val="0"/>
        <w:rPr>
          <w:rFonts w:hint="eastAsia" w:ascii="微软雅黑" w:hAnsi="微软雅黑" w:eastAsia="微软雅黑"/>
          <w:color w:val="000000" w:themeColor="text1"/>
          <w:sz w:val="22"/>
          <w:highlight w:val="none"/>
          <w14:textFill>
            <w14:solidFill>
              <w14:schemeClr w14:val="tx1"/>
            </w14:solidFill>
          </w14:textFill>
        </w:rPr>
      </w:pPr>
    </w:p>
    <w:p w14:paraId="48346BED">
      <w:pPr>
        <w:snapToGrid w:val="0"/>
        <w:ind w:firstLine="1290"/>
        <w:jc w:val="center"/>
        <w:rPr>
          <w:rFonts w:hint="eastAsia" w:ascii="微软雅黑" w:hAnsi="微软雅黑" w:eastAsia="微软雅黑"/>
          <w:color w:val="000000" w:themeColor="text1"/>
          <w:sz w:val="22"/>
          <w:highlight w:val="none"/>
          <w14:textFill>
            <w14:solidFill>
              <w14:schemeClr w14:val="tx1"/>
            </w14:solidFill>
          </w14:textFill>
        </w:rPr>
      </w:pPr>
    </w:p>
    <w:p w14:paraId="6AAFDF9F">
      <w:pPr>
        <w:pStyle w:val="2"/>
        <w:widowControl/>
        <w:snapToGrid w:val="0"/>
        <w:spacing w:before="340" w:after="330" w:line="276" w:lineRule="auto"/>
        <w:ind w:firstLine="562" w:firstLineChars="200"/>
        <w:rPr>
          <w:rFonts w:hint="eastAsia" w:ascii="仿宋" w:hAnsi="仿宋" w:eastAsia="仿宋"/>
          <w:color w:val="000000" w:themeColor="text1"/>
          <w:sz w:val="24"/>
          <w:szCs w:val="24"/>
          <w:highlight w:val="none"/>
          <w:u w:val="single"/>
          <w14:textFill>
            <w14:solidFill>
              <w14:schemeClr w14:val="tx1"/>
            </w14:solidFill>
          </w14:textFill>
        </w:rPr>
      </w:pPr>
      <w:r>
        <w:rPr>
          <w:rFonts w:ascii="宋体" w:hAnsi="宋体" w:eastAsia="宋体" w:cs="宋体"/>
          <w:snapToGrid w:val="0"/>
          <w:color w:val="000000" w:themeColor="text1"/>
          <w:kern w:val="0"/>
          <w:sz w:val="28"/>
          <w:szCs w:val="28"/>
          <w:highlight w:val="none"/>
          <w:u w:val="single"/>
          <w:lang w:val="zh-CN"/>
          <w14:textFill>
            <w14:solidFill>
              <w14:schemeClr w14:val="tx1"/>
            </w14:solidFill>
          </w14:textFill>
        </w:rPr>
        <w:t>工程名称</w:t>
      </w:r>
      <w:r>
        <w:rPr>
          <w:rFonts w:hint="eastAsia" w:ascii="宋体" w:hAnsi="宋体" w:eastAsia="宋体" w:cs="宋体"/>
          <w:snapToGrid w:val="0"/>
          <w:color w:val="000000" w:themeColor="text1"/>
          <w:kern w:val="0"/>
          <w:sz w:val="28"/>
          <w:szCs w:val="28"/>
          <w:highlight w:val="none"/>
          <w:u w:val="single"/>
          <w:lang w:val="zh-CN"/>
          <w14:textFill>
            <w14:solidFill>
              <w14:schemeClr w14:val="tx1"/>
            </w14:solidFill>
          </w14:textFill>
        </w:rPr>
        <w:t>：中天综合楼质量提升项目（室内装修工程）</w:t>
      </w:r>
    </w:p>
    <w:p w14:paraId="1A63EFAC">
      <w:pPr>
        <w:pStyle w:val="2"/>
        <w:widowControl/>
        <w:snapToGrid w:val="0"/>
        <w:spacing w:before="340" w:after="330" w:line="276" w:lineRule="auto"/>
        <w:ind w:firstLine="562" w:firstLineChars="200"/>
        <w:rPr>
          <w:rFonts w:hint="eastAsia" w:ascii="宋体" w:hAnsi="宋体" w:eastAsia="宋体" w:cs="宋体"/>
          <w:snapToGrid w:val="0"/>
          <w:color w:val="000000" w:themeColor="text1"/>
          <w:kern w:val="0"/>
          <w:sz w:val="28"/>
          <w:szCs w:val="28"/>
          <w:highlight w:val="none"/>
          <w:u w:val="single"/>
          <w:lang w:val="zh-CN" w:eastAsia="zh-CN"/>
          <w14:textFill>
            <w14:solidFill>
              <w14:schemeClr w14:val="tx1"/>
            </w14:solidFill>
          </w14:textFill>
        </w:rPr>
      </w:pPr>
      <w:r>
        <w:rPr>
          <w:rFonts w:ascii="宋体" w:hAnsi="宋体" w:eastAsia="宋体" w:cs="宋体"/>
          <w:snapToGrid w:val="0"/>
          <w:color w:val="000000" w:themeColor="text1"/>
          <w:kern w:val="0"/>
          <w:sz w:val="28"/>
          <w:szCs w:val="28"/>
          <w:highlight w:val="none"/>
          <w:u w:val="single"/>
          <w:lang w:val="zh-CN"/>
          <w14:textFill>
            <w14:solidFill>
              <w14:schemeClr w14:val="tx1"/>
            </w14:solidFill>
          </w14:textFill>
        </w:rPr>
        <w:t>工程地点：</w:t>
      </w:r>
      <w:r>
        <w:rPr>
          <w:rFonts w:hint="eastAsia" w:ascii="宋体" w:hAnsi="宋体" w:eastAsia="宋体" w:cs="宋体"/>
          <w:snapToGrid w:val="0"/>
          <w:color w:val="000000" w:themeColor="text1"/>
          <w:kern w:val="0"/>
          <w:sz w:val="28"/>
          <w:szCs w:val="28"/>
          <w:highlight w:val="none"/>
          <w:u w:val="single"/>
          <w:lang w:val="zh-CN"/>
          <w14:textFill>
            <w14:solidFill>
              <w14:schemeClr w14:val="tx1"/>
            </w14:solidFill>
          </w14:textFill>
        </w:rPr>
        <w:t>深圳市罗湖区翠竹街道</w:t>
      </w:r>
      <w:r>
        <w:rPr>
          <w:rFonts w:hint="eastAsia" w:ascii="宋体" w:hAnsi="宋体" w:eastAsia="宋体" w:cs="宋体"/>
          <w:snapToGrid w:val="0"/>
          <w:color w:val="000000" w:themeColor="text1"/>
          <w:kern w:val="0"/>
          <w:sz w:val="28"/>
          <w:szCs w:val="28"/>
          <w:highlight w:val="none"/>
          <w:u w:val="single"/>
          <w:lang w:val="en-US" w:eastAsia="zh-CN"/>
          <w14:textFill>
            <w14:solidFill>
              <w14:schemeClr w14:val="tx1"/>
            </w14:solidFill>
          </w14:textFill>
        </w:rPr>
        <w:t>中天综合楼</w:t>
      </w:r>
    </w:p>
    <w:p w14:paraId="0A657B25">
      <w:pPr>
        <w:rPr>
          <w:rFonts w:ascii="宋体"/>
          <w:b w:val="0"/>
          <w:bCs w:val="0"/>
          <w:color w:val="000000" w:themeColor="text1"/>
          <w:sz w:val="24"/>
          <w:szCs w:val="24"/>
          <w:highlight w:val="none"/>
          <w14:textFill>
            <w14:solidFill>
              <w14:schemeClr w14:val="tx1"/>
            </w14:solidFill>
          </w14:textFill>
        </w:rPr>
      </w:pPr>
      <w:r>
        <w:rPr>
          <w:b/>
          <w:bCs/>
          <w:color w:val="000000" w:themeColor="text1"/>
          <w:highlight w:val="none"/>
          <w14:textFill>
            <w14:solidFill>
              <w14:schemeClr w14:val="tx1"/>
            </w14:solidFill>
          </w14:textFill>
        </w:rPr>
        <w:br w:type="page"/>
      </w:r>
    </w:p>
    <w:tbl>
      <w:tblPr>
        <w:tblStyle w:val="38"/>
        <w:tblW w:w="9296" w:type="dxa"/>
        <w:tblInd w:w="0" w:type="dxa"/>
        <w:tblLayout w:type="fixed"/>
        <w:tblCellMar>
          <w:top w:w="0" w:type="dxa"/>
          <w:left w:w="108" w:type="dxa"/>
          <w:bottom w:w="0" w:type="dxa"/>
          <w:right w:w="108" w:type="dxa"/>
        </w:tblCellMar>
      </w:tblPr>
      <w:tblGrid>
        <w:gridCol w:w="1701"/>
        <w:gridCol w:w="3619"/>
        <w:gridCol w:w="3976"/>
      </w:tblGrid>
      <w:tr w14:paraId="4831D421">
        <w:tblPrEx>
          <w:tblCellMar>
            <w:top w:w="0" w:type="dxa"/>
            <w:left w:w="108" w:type="dxa"/>
            <w:bottom w:w="0" w:type="dxa"/>
            <w:right w:w="108" w:type="dxa"/>
          </w:tblCellMar>
        </w:tblPrEx>
        <w:trPr>
          <w:trHeight w:val="653" w:hRule="atLeast"/>
        </w:trPr>
        <w:tc>
          <w:tcPr>
            <w:tcW w:w="1701" w:type="dxa"/>
          </w:tcPr>
          <w:p w14:paraId="44A00D73">
            <w:pPr>
              <w:autoSpaceDE w:val="0"/>
              <w:autoSpaceDN w:val="0"/>
              <w:spacing w:line="30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建设单位：</w:t>
            </w:r>
          </w:p>
        </w:tc>
        <w:tc>
          <w:tcPr>
            <w:tcW w:w="3619" w:type="dxa"/>
          </w:tcPr>
          <w:p w14:paraId="778362DE">
            <w:pPr>
              <w:autoSpaceDE w:val="0"/>
              <w:autoSpaceDN w:val="0"/>
              <w:spacing w:line="30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深圳市中天实业有限公司</w:t>
            </w:r>
          </w:p>
        </w:tc>
        <w:tc>
          <w:tcPr>
            <w:tcW w:w="3976" w:type="dxa"/>
          </w:tcPr>
          <w:p w14:paraId="4192D92C">
            <w:pPr>
              <w:autoSpaceDE w:val="0"/>
              <w:autoSpaceDN w:val="0"/>
              <w:spacing w:line="30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（以下简称“甲方”，或“发包人”）</w:t>
            </w:r>
          </w:p>
        </w:tc>
      </w:tr>
      <w:tr w14:paraId="4C26718F">
        <w:tblPrEx>
          <w:tblCellMar>
            <w:top w:w="0" w:type="dxa"/>
            <w:left w:w="108" w:type="dxa"/>
            <w:bottom w:w="0" w:type="dxa"/>
            <w:right w:w="108" w:type="dxa"/>
          </w:tblCellMar>
        </w:tblPrEx>
        <w:trPr>
          <w:trHeight w:val="762" w:hRule="atLeast"/>
        </w:trPr>
        <w:tc>
          <w:tcPr>
            <w:tcW w:w="1701" w:type="dxa"/>
          </w:tcPr>
          <w:p w14:paraId="4FC12639">
            <w:pPr>
              <w:spacing w:line="48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施工单位：</w:t>
            </w:r>
          </w:p>
        </w:tc>
        <w:tc>
          <w:tcPr>
            <w:tcW w:w="3619" w:type="dxa"/>
          </w:tcPr>
          <w:p w14:paraId="15191C96">
            <w:pPr>
              <w:spacing w:line="480" w:lineRule="auto"/>
              <w:rPr>
                <w:rFonts w:hint="eastAsia" w:asciiTheme="minorEastAsia" w:hAnsiTheme="minorEastAsia"/>
                <w:b/>
                <w:bCs/>
                <w:color w:val="000000" w:themeColor="text1"/>
                <w:sz w:val="24"/>
                <w:szCs w:val="24"/>
                <w:highlight w:val="none"/>
                <w14:textFill>
                  <w14:solidFill>
                    <w14:schemeClr w14:val="tx1"/>
                  </w14:solidFill>
                </w14:textFill>
              </w:rPr>
            </w:pPr>
          </w:p>
        </w:tc>
        <w:tc>
          <w:tcPr>
            <w:tcW w:w="3976" w:type="dxa"/>
          </w:tcPr>
          <w:p w14:paraId="2DB07898">
            <w:pPr>
              <w:spacing w:line="48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（以下简称“乙方”，或“承包人”）</w:t>
            </w:r>
          </w:p>
        </w:tc>
      </w:tr>
    </w:tbl>
    <w:p w14:paraId="1148AED1">
      <w:pPr>
        <w:snapToGrid w:val="0"/>
        <w:spacing w:line="36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根据《中华人民共和国民法典》</w:t>
      </w:r>
      <w:r>
        <w:rPr>
          <w:rFonts w:hint="eastAsia" w:asciiTheme="minorEastAsia" w:hAnsiTheme="minorEastAsia"/>
          <w:color w:val="000000" w:themeColor="text1"/>
          <w:sz w:val="24"/>
          <w:szCs w:val="24"/>
          <w:highlight w:val="none"/>
          <w14:textFill>
            <w14:solidFill>
              <w14:schemeClr w14:val="tx1"/>
            </w14:solidFill>
          </w14:textFill>
        </w:rPr>
        <w:t xml:space="preserve"> </w:t>
      </w:r>
      <w:r>
        <w:rPr>
          <w:rFonts w:asciiTheme="minorEastAsia" w:hAnsiTheme="minorEastAsia"/>
          <w:color w:val="000000" w:themeColor="text1"/>
          <w:sz w:val="24"/>
          <w:szCs w:val="24"/>
          <w:highlight w:val="none"/>
          <w14:textFill>
            <w14:solidFill>
              <w14:schemeClr w14:val="tx1"/>
            </w14:solidFill>
          </w14:textFill>
        </w:rPr>
        <w:t>《中华人民共和国建筑法》及其他有关法律、法规，遵循平等、自愿、公平和诚实信用的原则，经友好协商，双方就</w:t>
      </w:r>
      <w:r>
        <w:rPr>
          <w:rFonts w:hint="eastAsia" w:asciiTheme="minorEastAsia" w:hAnsiTheme="minorEastAsia"/>
          <w:color w:val="000000" w:themeColor="text1"/>
          <w:sz w:val="24"/>
          <w:szCs w:val="24"/>
          <w:highlight w:val="none"/>
          <w:u w:val="single"/>
          <w14:textFill>
            <w14:solidFill>
              <w14:schemeClr w14:val="tx1"/>
            </w14:solidFill>
          </w14:textFill>
        </w:rPr>
        <w:t>中天综合楼质量提升项目（室内装修工程</w:t>
      </w:r>
      <w:r>
        <w:rPr>
          <w:rFonts w:hint="eastAsia" w:asciiTheme="minorEastAsia" w:hAnsiTheme="minorEastAsia"/>
          <w:color w:val="000000" w:themeColor="text1"/>
          <w:sz w:val="24"/>
          <w:szCs w:val="24"/>
          <w:highlight w:val="none"/>
          <w:u w:val="single"/>
          <w:lang w:eastAsia="zh-CN"/>
          <w14:textFill>
            <w14:solidFill>
              <w14:schemeClr w14:val="tx1"/>
            </w14:solidFill>
          </w14:textFill>
        </w:rPr>
        <w:t>）</w:t>
      </w:r>
      <w:r>
        <w:rPr>
          <w:rFonts w:asciiTheme="minorEastAsia" w:hAnsiTheme="minorEastAsia"/>
          <w:color w:val="000000" w:themeColor="text1"/>
          <w:sz w:val="24"/>
          <w:szCs w:val="24"/>
          <w:highlight w:val="none"/>
          <w14:textFill>
            <w14:solidFill>
              <w14:schemeClr w14:val="tx1"/>
            </w14:solidFill>
          </w14:textFill>
        </w:rPr>
        <w:t>事项协商一致，特签订本合同，以资共同遵守。</w:t>
      </w:r>
    </w:p>
    <w:p w14:paraId="7FF9C8C0">
      <w:pPr>
        <w:pStyle w:val="2"/>
        <w:snapToGrid w:val="0"/>
        <w:spacing w:line="600" w:lineRule="auto"/>
        <w:jc w:val="both"/>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第一条 工程概况</w:t>
      </w:r>
    </w:p>
    <w:p w14:paraId="709A23D6">
      <w:pPr>
        <w:numPr>
          <w:ilvl w:val="0"/>
          <w:numId w:val="10"/>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工程名</w:t>
      </w:r>
      <w:r>
        <w:rPr>
          <w:rFonts w:hint="eastAsia" w:asciiTheme="minorEastAsia" w:hAnsiTheme="minorEastAsia"/>
          <w:color w:val="000000" w:themeColor="text1"/>
          <w:sz w:val="24"/>
          <w:szCs w:val="24"/>
          <w:highlight w:val="none"/>
          <w14:textFill>
            <w14:solidFill>
              <w14:schemeClr w14:val="tx1"/>
            </w14:solidFill>
          </w14:textFill>
        </w:rPr>
        <w:t>称：中天综合楼质量提升项目（室内装修工程</w:t>
      </w:r>
      <w:r>
        <w:rPr>
          <w:rFonts w:hint="eastAsia" w:asciiTheme="minorEastAsia" w:hAnsiTheme="minorEastAsia"/>
          <w:color w:val="000000" w:themeColor="text1"/>
          <w:sz w:val="24"/>
          <w:szCs w:val="24"/>
          <w:highlight w:val="none"/>
          <w:lang w:eastAsia="zh-CN"/>
          <w14:textFill>
            <w14:solidFill>
              <w14:schemeClr w14:val="tx1"/>
            </w14:solidFill>
          </w14:textFill>
        </w:rPr>
        <w:t>）</w:t>
      </w:r>
    </w:p>
    <w:p w14:paraId="4D5F54CB">
      <w:pPr>
        <w:numPr>
          <w:ilvl w:val="0"/>
          <w:numId w:val="10"/>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工程地点：深圳市罗湖区翠竹街道</w:t>
      </w:r>
      <w:r>
        <w:rPr>
          <w:rFonts w:hint="eastAsia" w:asciiTheme="minorEastAsia" w:hAnsiTheme="minorEastAsia"/>
          <w:color w:val="000000" w:themeColor="text1"/>
          <w:sz w:val="24"/>
          <w:szCs w:val="24"/>
          <w:highlight w:val="none"/>
          <w:lang w:val="en-US" w:eastAsia="zh-CN"/>
          <w14:textFill>
            <w14:solidFill>
              <w14:schemeClr w14:val="tx1"/>
            </w14:solidFill>
          </w14:textFill>
        </w:rPr>
        <w:t>中天综合楼</w:t>
      </w:r>
    </w:p>
    <w:p w14:paraId="2E288C4C">
      <w:pPr>
        <w:numPr>
          <w:ilvl w:val="0"/>
          <w:numId w:val="10"/>
        </w:numPr>
        <w:snapToGrid w:val="0"/>
        <w:spacing w:line="360" w:lineRule="auto"/>
        <w:rPr>
          <w:rFonts w:hint="eastAsia" w:asciiTheme="minorEastAsia" w:hAnsi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工程范围：本项目装修范围为</w:t>
      </w:r>
      <w:r>
        <w:rPr>
          <w:rFonts w:hint="eastAsia" w:asciiTheme="minorEastAsia" w:hAnsiTheme="minorEastAsia"/>
          <w:color w:val="000000" w:themeColor="text1"/>
          <w:sz w:val="24"/>
          <w:szCs w:val="24"/>
          <w:highlight w:val="none"/>
          <w:lang w:val="en-US" w:eastAsia="zh-CN"/>
          <w14:textFill>
            <w14:solidFill>
              <w14:schemeClr w14:val="tx1"/>
            </w14:solidFill>
          </w14:textFill>
        </w:rPr>
        <w:t>中天综合楼五层六层的25间房间</w:t>
      </w:r>
      <w:r>
        <w:rPr>
          <w:rFonts w:hint="eastAsia" w:asciiTheme="minorEastAsia" w:hAnsiTheme="minorEastAsia"/>
          <w:color w:val="000000" w:themeColor="text1"/>
          <w:sz w:val="24"/>
          <w:szCs w:val="24"/>
          <w:highlight w:val="none"/>
          <w14:textFill>
            <w14:solidFill>
              <w14:schemeClr w14:val="tx1"/>
            </w14:solidFill>
          </w14:textFill>
        </w:rPr>
        <w:t>重新装修</w:t>
      </w:r>
      <w:r>
        <w:rPr>
          <w:rFonts w:hint="eastAsia" w:asciiTheme="minorEastAsia" w:hAnsiTheme="minorEastAsia" w:eastAsiaTheme="minorEastAsia" w:cstheme="minorBidi"/>
          <w:color w:val="000000" w:themeColor="text1"/>
          <w:sz w:val="24"/>
          <w:szCs w:val="24"/>
          <w:highlight w:val="none"/>
          <w:lang w:val="en-US" w:eastAsia="zh-CN"/>
          <w14:textFill>
            <w14:solidFill>
              <w14:schemeClr w14:val="tx1"/>
            </w14:solidFill>
          </w14:textFill>
        </w:rPr>
        <w:t>以及局部走道及电梯厅装修（范围详见图纸）</w:t>
      </w:r>
      <w:r>
        <w:rPr>
          <w:rFonts w:hint="eastAsia" w:asciiTheme="minorEastAsia" w:hAnsiTheme="minorEastAsia"/>
          <w:color w:val="000000" w:themeColor="text1"/>
          <w:sz w:val="24"/>
          <w:szCs w:val="24"/>
          <w:highlight w:val="none"/>
          <w14:textFill>
            <w14:solidFill>
              <w14:schemeClr w14:val="tx1"/>
            </w14:solidFill>
          </w14:textFill>
        </w:rPr>
        <w:t>。中天综合楼质量提升项目（室内装修工程）包括但不限于：场地围护</w:t>
      </w: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14:textFill>
            <w14:solidFill>
              <w14:schemeClr w14:val="tx1"/>
            </w14:solidFill>
          </w14:textFill>
        </w:rPr>
        <w:t>设计图纸范围的所有施工内容，建筑改造工程、机电安装工程（含弱电智能化）、</w:t>
      </w:r>
      <w:r>
        <w:rPr>
          <w:rFonts w:hint="eastAsia" w:asciiTheme="minorEastAsia" w:hAnsiTheme="minorEastAsia"/>
          <w:color w:val="000000" w:themeColor="text1"/>
          <w:sz w:val="24"/>
          <w:szCs w:val="24"/>
          <w:highlight w:val="none"/>
          <w:lang w:val="en-US" w:eastAsia="zh-CN"/>
          <w14:textFill>
            <w14:solidFill>
              <w14:schemeClr w14:val="tx1"/>
            </w14:solidFill>
          </w14:textFill>
        </w:rPr>
        <w:t>消防工程、</w:t>
      </w:r>
      <w:r>
        <w:rPr>
          <w:rFonts w:hint="eastAsia" w:asciiTheme="minorEastAsia" w:hAnsiTheme="minorEastAsia"/>
          <w:color w:val="000000" w:themeColor="text1"/>
          <w:sz w:val="24"/>
          <w:szCs w:val="24"/>
          <w:highlight w:val="none"/>
          <w14:textFill>
            <w14:solidFill>
              <w14:schemeClr w14:val="tx1"/>
            </w14:solidFill>
          </w14:textFill>
        </w:rPr>
        <w:t>防水补漏施工、拆除工程以及其他工程等。负责办理装修工程相关手续的报批报建；负责办理工程竣工验收等。具体范围详见招标图纸、招标清单和技术要求(最终以</w:t>
      </w:r>
      <w:r>
        <w:rPr>
          <w:rFonts w:hint="eastAsia" w:asciiTheme="minorEastAsia" w:hAnsiTheme="minorEastAsia"/>
          <w:color w:val="000000" w:themeColor="text1"/>
          <w:sz w:val="24"/>
          <w:szCs w:val="24"/>
          <w:highlight w:val="none"/>
          <w:lang w:val="en-US" w:eastAsia="zh-CN"/>
          <w14:textFill>
            <w14:solidFill>
              <w14:schemeClr w14:val="tx1"/>
            </w14:solidFill>
          </w14:textFill>
        </w:rPr>
        <w:t>甲方</w:t>
      </w:r>
      <w:r>
        <w:rPr>
          <w:rFonts w:hint="eastAsia" w:asciiTheme="minorEastAsia" w:hAnsiTheme="minorEastAsia"/>
          <w:color w:val="000000" w:themeColor="text1"/>
          <w:sz w:val="24"/>
          <w:szCs w:val="24"/>
          <w:highlight w:val="none"/>
          <w14:textFill>
            <w14:solidFill>
              <w14:schemeClr w14:val="tx1"/>
            </w14:solidFill>
          </w14:textFill>
        </w:rPr>
        <w:t>下发的纸质盖章版</w:t>
      </w:r>
      <w:r>
        <w:rPr>
          <w:rFonts w:hint="eastAsia" w:asciiTheme="minorEastAsia" w:hAnsiTheme="minorEastAsia"/>
          <w:color w:val="000000" w:themeColor="text1"/>
          <w:sz w:val="24"/>
          <w:szCs w:val="24"/>
          <w:highlight w:val="none"/>
          <w:lang w:val="en-US" w:eastAsia="zh-CN"/>
          <w14:textFill>
            <w14:solidFill>
              <w14:schemeClr w14:val="tx1"/>
            </w14:solidFill>
          </w14:textFill>
        </w:rPr>
        <w:t>施工蓝图为准)。</w:t>
      </w:r>
    </w:p>
    <w:p w14:paraId="722922CB">
      <w:pPr>
        <w:numPr>
          <w:ilvl w:val="0"/>
          <w:numId w:val="10"/>
        </w:numPr>
        <w:snapToGrid w:val="0"/>
        <w:spacing w:line="360" w:lineRule="auto"/>
        <w:rPr>
          <w:rFonts w:hint="eastAsia" w:asciiTheme="minorEastAsia" w:hAnsi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承包方式：本工程由乙方包工、包料、包机械、包工期、包质量、包安全、包拆卸、包文明施工、包用工培训、包施工措施、包垃圾清运、包报批报建手续、包竣工验收、包环境质量检测、包保险、包税费、包保修等承包人为履行本合同义务所需的所有费用。</w:t>
      </w:r>
    </w:p>
    <w:p w14:paraId="173FB01C">
      <w:pPr>
        <w:numPr>
          <w:ilvl w:val="0"/>
          <w:numId w:val="10"/>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乙方知悉</w:t>
      </w:r>
      <w:r>
        <w:rPr>
          <w:rFonts w:hint="eastAsia" w:asciiTheme="minorEastAsia" w:hAnsiTheme="minorEastAsia"/>
          <w:color w:val="000000" w:themeColor="text1"/>
          <w:sz w:val="24"/>
          <w:szCs w:val="24"/>
          <w:highlight w:val="none"/>
          <w14:textFill>
            <w14:solidFill>
              <w14:schemeClr w14:val="tx1"/>
            </w14:solidFill>
          </w14:textFill>
        </w:rPr>
        <w:t>物业管理单位对环境保护要求严格，</w:t>
      </w:r>
      <w:r>
        <w:rPr>
          <w:rFonts w:hint="eastAsia" w:asciiTheme="minorEastAsia" w:hAnsiTheme="minorEastAsia"/>
          <w:color w:val="000000" w:themeColor="text1"/>
          <w:sz w:val="24"/>
          <w:szCs w:val="24"/>
          <w:highlight w:val="none"/>
          <w:lang w:val="en-US" w:eastAsia="zh-CN"/>
          <w14:textFill>
            <w14:solidFill>
              <w14:schemeClr w14:val="tx1"/>
            </w14:solidFill>
          </w14:textFill>
        </w:rPr>
        <w:t>且该栋建筑物功能含公寓，</w:t>
      </w:r>
      <w:r>
        <w:rPr>
          <w:rFonts w:hint="eastAsia" w:asciiTheme="minorEastAsia" w:hAnsiTheme="minorEastAsia"/>
          <w:color w:val="000000" w:themeColor="text1"/>
          <w:sz w:val="24"/>
          <w:szCs w:val="24"/>
          <w:highlight w:val="none"/>
          <w14:textFill>
            <w14:solidFill>
              <w14:schemeClr w14:val="tx1"/>
            </w14:solidFill>
          </w14:textFill>
        </w:rPr>
        <w:t>施工时间和材料及废弃物搬运需满足物业管理要求，可能需要夜间施工，</w:t>
      </w:r>
      <w:r>
        <w:rPr>
          <w:rFonts w:hint="eastAsia" w:asciiTheme="minorEastAsia" w:hAnsiTheme="minorEastAsia"/>
          <w:color w:val="000000" w:themeColor="text1"/>
          <w:sz w:val="24"/>
          <w:szCs w:val="24"/>
          <w:highlight w:val="none"/>
          <w:lang w:val="en-US" w:eastAsia="zh-CN"/>
          <w14:textFill>
            <w14:solidFill>
              <w14:schemeClr w14:val="tx1"/>
            </w14:solidFill>
          </w14:textFill>
        </w:rPr>
        <w:t>乙方已</w:t>
      </w:r>
      <w:r>
        <w:rPr>
          <w:rFonts w:hint="eastAsia" w:asciiTheme="minorEastAsia" w:hAnsiTheme="minorEastAsia"/>
          <w:color w:val="000000" w:themeColor="text1"/>
          <w:sz w:val="24"/>
          <w:szCs w:val="24"/>
          <w:highlight w:val="none"/>
          <w14:textFill>
            <w14:solidFill>
              <w14:schemeClr w14:val="tx1"/>
            </w14:solidFill>
          </w14:textFill>
        </w:rPr>
        <w:t>充分考虑由此带来的施工困难。</w:t>
      </w:r>
    </w:p>
    <w:p w14:paraId="2FA4A373">
      <w:pPr>
        <w:pStyle w:val="2"/>
        <w:snapToGrid w:val="0"/>
        <w:spacing w:line="600" w:lineRule="auto"/>
        <w:jc w:val="both"/>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第二条 工期要求</w:t>
      </w:r>
    </w:p>
    <w:p w14:paraId="3062DE72">
      <w:pPr>
        <w:numPr>
          <w:ilvl w:val="0"/>
          <w:numId w:val="11"/>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开工日期：</w:t>
      </w:r>
      <w:r>
        <w:rPr>
          <w:rFonts w:hint="eastAsia" w:asciiTheme="minorEastAsia" w:hAnsiTheme="minorEastAsia"/>
          <w:color w:val="000000" w:themeColor="text1"/>
          <w:sz w:val="24"/>
          <w:szCs w:val="24"/>
          <w:highlight w:val="none"/>
          <w14:textFill>
            <w14:solidFill>
              <w14:schemeClr w14:val="tx1"/>
            </w14:solidFill>
          </w14:textFill>
        </w:rPr>
        <w:t>以甲方</w:t>
      </w:r>
      <w:r>
        <w:rPr>
          <w:rFonts w:hint="eastAsia" w:asciiTheme="minorEastAsia" w:hAnsiTheme="minorEastAsia" w:eastAsiaTheme="minorEastAsia"/>
          <w:color w:val="000000" w:themeColor="text1"/>
          <w:sz w:val="24"/>
          <w:szCs w:val="24"/>
          <w:highlight w:val="none"/>
          <w14:textFill>
            <w14:solidFill>
              <w14:schemeClr w14:val="tx1"/>
            </w14:solidFill>
          </w14:textFill>
        </w:rPr>
        <w:t>开工令</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color w:val="000000" w:themeColor="text1"/>
          <w:sz w:val="24"/>
          <w:szCs w:val="24"/>
          <w:highlight w:val="none"/>
          <w14:textFill>
            <w14:solidFill>
              <w14:schemeClr w14:val="tx1"/>
            </w14:solidFill>
          </w14:textFill>
        </w:rPr>
        <w:t>书面通知</w:t>
      </w:r>
      <w:r>
        <w:rPr>
          <w:rFonts w:hint="eastAsia" w:asciiTheme="minorEastAsia" w:hAnsiTheme="minorEastAsia" w:eastAsiaTheme="minorEastAsia"/>
          <w:color w:val="000000" w:themeColor="text1"/>
          <w:sz w:val="24"/>
          <w:szCs w:val="24"/>
          <w:highlight w:val="none"/>
          <w14:textFill>
            <w14:solidFill>
              <w14:schemeClr w14:val="tx1"/>
            </w14:solidFill>
          </w14:textFill>
        </w:rPr>
        <w:t>确定的开工</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时间</w:t>
      </w:r>
      <w:r>
        <w:rPr>
          <w:rFonts w:hint="eastAsia" w:asciiTheme="minorEastAsia" w:hAnsiTheme="minorEastAsia"/>
          <w:color w:val="000000" w:themeColor="text1"/>
          <w:sz w:val="24"/>
          <w:szCs w:val="24"/>
          <w:highlight w:val="none"/>
          <w14:textFill>
            <w14:solidFill>
              <w14:schemeClr w14:val="tx1"/>
            </w14:solidFill>
          </w14:textFill>
        </w:rPr>
        <w:t>为准。</w:t>
      </w:r>
    </w:p>
    <w:p w14:paraId="73ECA3D0">
      <w:pPr>
        <w:numPr>
          <w:ilvl w:val="0"/>
          <w:numId w:val="11"/>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总工期：</w:t>
      </w:r>
      <w:r>
        <w:rPr>
          <w:rFonts w:asciiTheme="minorEastAsia" w:hAnsiTheme="minorEastAsia"/>
          <w:color w:val="000000" w:themeColor="text1"/>
          <w:sz w:val="24"/>
          <w:szCs w:val="24"/>
          <w:highlight w:val="none"/>
          <w:u w:val="single"/>
          <w14:textFill>
            <w14:solidFill>
              <w14:schemeClr w14:val="tx1"/>
            </w14:solidFill>
          </w14:textFill>
        </w:rPr>
        <w:t xml:space="preserve">     </w:t>
      </w:r>
      <w:r>
        <w:rPr>
          <w:rFonts w:asciiTheme="minorEastAsia" w:hAnsiTheme="minorEastAsia"/>
          <w:color w:val="000000" w:themeColor="text1"/>
          <w:sz w:val="24"/>
          <w:szCs w:val="24"/>
          <w:highlight w:val="none"/>
          <w14:textFill>
            <w14:solidFill>
              <w14:schemeClr w14:val="tx1"/>
            </w14:solidFill>
          </w14:textFill>
        </w:rPr>
        <w:t>日历天</w:t>
      </w:r>
      <w:r>
        <w:rPr>
          <w:rFonts w:hint="eastAsia" w:asciiTheme="minorEastAsia" w:hAnsiTheme="minorEastAsia"/>
          <w:color w:val="000000" w:themeColor="text1"/>
          <w:sz w:val="24"/>
          <w:szCs w:val="24"/>
          <w:highlight w:val="none"/>
          <w14:textFill>
            <w14:solidFill>
              <w14:schemeClr w14:val="tx1"/>
            </w14:solidFill>
          </w14:textFill>
        </w:rPr>
        <w:t>，</w:t>
      </w:r>
      <w:r>
        <w:rPr>
          <w:rFonts w:asciiTheme="minorEastAsia" w:hAnsiTheme="minorEastAsia"/>
          <w:color w:val="000000" w:themeColor="text1"/>
          <w:sz w:val="24"/>
          <w:szCs w:val="24"/>
          <w:highlight w:val="none"/>
          <w14:textFill>
            <w14:solidFill>
              <w14:schemeClr w14:val="tx1"/>
            </w14:solidFill>
          </w14:textFill>
        </w:rPr>
        <w:t>因非乙方原因造成停工，工期相应顺延，但不予以任何费用补偿。</w:t>
      </w:r>
    </w:p>
    <w:p w14:paraId="31AFFBD3">
      <w:pPr>
        <w:numPr>
          <w:ilvl w:val="0"/>
          <w:numId w:val="11"/>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乙方应在接到甲方开工通知之日起，在约定的工期时间内完成</w:t>
      </w:r>
      <w:r>
        <w:rPr>
          <w:rFonts w:asciiTheme="minorEastAsia" w:hAnsiTheme="minorEastAsia"/>
          <w:color w:val="000000" w:themeColor="text1"/>
          <w:sz w:val="24"/>
          <w:szCs w:val="24"/>
          <w:highlight w:val="none"/>
          <w14:textFill>
            <w14:solidFill>
              <w14:schemeClr w14:val="tx1"/>
            </w14:solidFill>
          </w14:textFill>
        </w:rPr>
        <w:t>竣工验收</w:t>
      </w:r>
      <w:r>
        <w:rPr>
          <w:rFonts w:hint="eastAsia" w:asciiTheme="minorEastAsia" w:hAnsiTheme="minorEastAsia"/>
          <w:color w:val="000000" w:themeColor="text1"/>
          <w:sz w:val="24"/>
          <w:szCs w:val="24"/>
          <w:highlight w:val="none"/>
          <w14:textFill>
            <w14:solidFill>
              <w14:schemeClr w14:val="tx1"/>
            </w14:solidFill>
          </w14:textFill>
        </w:rPr>
        <w:t>，</w:t>
      </w:r>
      <w:r>
        <w:rPr>
          <w:rFonts w:asciiTheme="minorEastAsia" w:hAnsiTheme="minorEastAsia"/>
          <w:color w:val="000000" w:themeColor="text1"/>
          <w:sz w:val="24"/>
          <w:szCs w:val="24"/>
          <w:highlight w:val="none"/>
          <w14:textFill>
            <w14:solidFill>
              <w14:schemeClr w14:val="tx1"/>
            </w14:solidFill>
          </w14:textFill>
        </w:rPr>
        <w:t>因乙方原因造成的工程延期</w:t>
      </w:r>
      <w:r>
        <w:rPr>
          <w:rFonts w:hint="eastAsia" w:asciiTheme="minorEastAsia" w:hAnsiTheme="minorEastAsia"/>
          <w:color w:val="000000" w:themeColor="text1"/>
          <w:sz w:val="24"/>
          <w:szCs w:val="24"/>
          <w:highlight w:val="none"/>
          <w14:textFill>
            <w14:solidFill>
              <w14:schemeClr w14:val="tx1"/>
            </w14:solidFill>
          </w14:textFill>
        </w:rPr>
        <w:t>，按违约责任相关条款</w:t>
      </w:r>
      <w:r>
        <w:rPr>
          <w:rFonts w:hint="eastAsia" w:asciiTheme="minorEastAsia" w:hAnsiTheme="minorEastAsia"/>
          <w:color w:val="000000" w:themeColor="text1"/>
          <w:sz w:val="24"/>
          <w:szCs w:val="24"/>
          <w:highlight w:val="none"/>
          <w:lang w:val="en-US" w:eastAsia="zh-CN"/>
          <w14:textFill>
            <w14:solidFill>
              <w14:schemeClr w14:val="tx1"/>
            </w14:solidFill>
          </w14:textFill>
        </w:rPr>
        <w:t>追究违约责任</w:t>
      </w:r>
      <w:r>
        <w:rPr>
          <w:rFonts w:hint="eastAsia" w:asciiTheme="minorEastAsia" w:hAnsiTheme="minorEastAsia"/>
          <w:color w:val="000000" w:themeColor="text1"/>
          <w:sz w:val="24"/>
          <w:szCs w:val="24"/>
          <w:highlight w:val="none"/>
          <w14:textFill>
            <w14:solidFill>
              <w14:schemeClr w14:val="tx1"/>
            </w14:solidFill>
          </w14:textFill>
        </w:rPr>
        <w:t>。</w:t>
      </w:r>
    </w:p>
    <w:p w14:paraId="08939984">
      <w:pPr>
        <w:pStyle w:val="2"/>
        <w:snapToGrid w:val="0"/>
        <w:spacing w:line="600" w:lineRule="auto"/>
        <w:jc w:val="both"/>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第三条 质量标准</w:t>
      </w:r>
    </w:p>
    <w:p w14:paraId="2A564524">
      <w:pPr>
        <w:numPr>
          <w:ilvl w:val="0"/>
          <w:numId w:val="12"/>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工程质量应达到国家、省、市及行业现行有关工程建设技术标准的合格标准</w:t>
      </w:r>
      <w:r>
        <w:rPr>
          <w:rFonts w:hint="eastAsia" w:asciiTheme="minorEastAsia" w:hAnsiTheme="minorEastAsia"/>
          <w:color w:val="000000" w:themeColor="text1"/>
          <w:sz w:val="24"/>
          <w:szCs w:val="24"/>
          <w:highlight w:val="none"/>
          <w14:textFill>
            <w14:solidFill>
              <w14:schemeClr w14:val="tx1"/>
            </w14:solidFill>
          </w14:textFill>
        </w:rPr>
        <w:t>（标准不一致者，以严格者为准）</w:t>
      </w:r>
      <w:r>
        <w:rPr>
          <w:rFonts w:asciiTheme="minorEastAsia" w:hAnsiTheme="minorEastAsia"/>
          <w:color w:val="000000" w:themeColor="text1"/>
          <w:sz w:val="24"/>
          <w:szCs w:val="24"/>
          <w:highlight w:val="none"/>
          <w14:textFill>
            <w14:solidFill>
              <w14:schemeClr w14:val="tx1"/>
            </w14:solidFill>
          </w14:textFill>
        </w:rPr>
        <w:t>。以国家或行业的质量检验评定标准为依据。</w:t>
      </w:r>
    </w:p>
    <w:p w14:paraId="7C60EE04">
      <w:pPr>
        <w:numPr>
          <w:ilvl w:val="0"/>
          <w:numId w:val="12"/>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乙方应建立质量保证体系，甲方有权对体系的任何方面进行审查。乙方应遵守质量保证体系，以及合同约定的乙方的任何义务和职责。</w:t>
      </w:r>
    </w:p>
    <w:p w14:paraId="5E59BD27">
      <w:pPr>
        <w:numPr>
          <w:ilvl w:val="0"/>
          <w:numId w:val="12"/>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因甲方原因造成工程质量未达到合同约定标准的，由甲方承担由此增加的费用和（或）延误的工期。</w:t>
      </w:r>
    </w:p>
    <w:p w14:paraId="6CC977A3">
      <w:pPr>
        <w:numPr>
          <w:ilvl w:val="0"/>
          <w:numId w:val="12"/>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因乙方原因造成工程质量未达到合同约定标准的，甲方有权要求乙方返工直至工程质量达到合同约定的标准为止，并由乙方承担由此增加的费用和（或）延误的工期</w:t>
      </w:r>
      <w:r>
        <w:rPr>
          <w:rFonts w:hint="eastAsia" w:asciiTheme="minorEastAsia" w:hAnsiTheme="minorEastAsia"/>
          <w:color w:val="000000" w:themeColor="text1"/>
          <w:sz w:val="24"/>
          <w:szCs w:val="24"/>
          <w:highlight w:val="none"/>
          <w14:textFill>
            <w14:solidFill>
              <w14:schemeClr w14:val="tx1"/>
            </w14:solidFill>
          </w14:textFill>
        </w:rPr>
        <w:t>，同时按照合同约定承担违约责任及赔偿损失等相关法律责任。</w:t>
      </w:r>
    </w:p>
    <w:p w14:paraId="777F9723">
      <w:pPr>
        <w:numPr>
          <w:ilvl w:val="0"/>
          <w:numId w:val="12"/>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乙方需在工程竣工验收前进行环境空气质量检测，检测结果合格后方可申请验收，检测时间已包含在合同工期内</w:t>
      </w:r>
      <w:r>
        <w:rPr>
          <w:rFonts w:hint="eastAsia" w:asciiTheme="minorEastAsia" w:hAnsiTheme="minorEastAsia"/>
          <w:color w:val="000000" w:themeColor="text1"/>
          <w:sz w:val="24"/>
          <w:szCs w:val="24"/>
          <w:highlight w:val="none"/>
          <w:lang w:val="en-US" w:eastAsia="zh-CN"/>
          <w14:textFill>
            <w14:solidFill>
              <w14:schemeClr w14:val="tx1"/>
            </w14:solidFill>
          </w14:textFill>
        </w:rPr>
        <w:t>，检测费用已包含在合同总价内，不另行计取。</w:t>
      </w:r>
    </w:p>
    <w:p w14:paraId="63FA84ED">
      <w:pPr>
        <w:numPr>
          <w:ilvl w:val="0"/>
          <w:numId w:val="12"/>
        </w:numPr>
        <w:snapToGrid w:val="0"/>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所有主要材料进场前需经甲方现场工程师确认后方可投入使用</w:t>
      </w:r>
      <w:r>
        <w:rPr>
          <w:rFonts w:hint="eastAsia" w:asciiTheme="minorEastAsia" w:hAnsiTheme="minorEastAsia"/>
          <w:color w:val="000000" w:themeColor="text1"/>
          <w:sz w:val="24"/>
          <w:szCs w:val="24"/>
          <w:highlight w:val="none"/>
          <w14:textFill>
            <w14:solidFill>
              <w14:schemeClr w14:val="tx1"/>
            </w14:solidFill>
          </w14:textFill>
        </w:rPr>
        <w:t>，优先参考品牌表（见附件）中推荐品牌，品牌表中无品牌约定参考的材料，由乙方提供三家同档次材料品牌报监理及甲方确定</w:t>
      </w:r>
      <w:r>
        <w:rPr>
          <w:rFonts w:asciiTheme="minorEastAsia" w:hAnsiTheme="minorEastAsia"/>
          <w:color w:val="000000" w:themeColor="text1"/>
          <w:sz w:val="24"/>
          <w:szCs w:val="24"/>
          <w:highlight w:val="none"/>
          <w14:textFill>
            <w14:solidFill>
              <w14:schemeClr w14:val="tx1"/>
            </w14:solidFill>
          </w14:textFill>
        </w:rPr>
        <w:t>。</w:t>
      </w:r>
    </w:p>
    <w:p w14:paraId="270172D7">
      <w:pPr>
        <w:pStyle w:val="2"/>
        <w:snapToGrid w:val="0"/>
        <w:spacing w:line="600" w:lineRule="auto"/>
        <w:jc w:val="both"/>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第四条</w:t>
      </w:r>
      <w:r>
        <w:rPr>
          <w:rFonts w:hint="eastAsia" w:asciiTheme="minorEastAsia" w:hAnsiTheme="minorEastAsia"/>
          <w:color w:val="000000" w:themeColor="text1"/>
          <w:spacing w:val="8"/>
          <w:sz w:val="24"/>
          <w:szCs w:val="24"/>
          <w:highlight w:val="none"/>
          <w14:textFill>
            <w14:solidFill>
              <w14:schemeClr w14:val="tx1"/>
            </w14:solidFill>
          </w14:textFill>
        </w:rPr>
        <w:t xml:space="preserve"> </w:t>
      </w:r>
      <w:r>
        <w:rPr>
          <w:rFonts w:asciiTheme="minorEastAsia" w:hAnsiTheme="minorEastAsia"/>
          <w:color w:val="000000" w:themeColor="text1"/>
          <w:spacing w:val="8"/>
          <w:sz w:val="24"/>
          <w:szCs w:val="24"/>
          <w:highlight w:val="none"/>
          <w14:textFill>
            <w14:solidFill>
              <w14:schemeClr w14:val="tx1"/>
            </w14:solidFill>
          </w14:textFill>
        </w:rPr>
        <w:t>费用及付款方式</w:t>
      </w:r>
    </w:p>
    <w:p w14:paraId="1517C793">
      <w:pPr>
        <w:snapToGrid w:val="0"/>
        <w:spacing w:line="360" w:lineRule="auto"/>
        <w:ind w:firstLine="48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（一）工程量清单</w:t>
      </w:r>
    </w:p>
    <w:p w14:paraId="3DC1B509">
      <w:pPr>
        <w:numPr>
          <w:ilvl w:val="0"/>
          <w:numId w:val="13"/>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本合同为固定单价合同</w:t>
      </w:r>
      <w:r>
        <w:rPr>
          <w:rFonts w:hint="eastAsia" w:asciiTheme="minorEastAsia" w:hAnsiTheme="minorEastAsia"/>
          <w:color w:val="000000" w:themeColor="text1"/>
          <w:sz w:val="24"/>
          <w:szCs w:val="24"/>
          <w:highlight w:val="none"/>
          <w14:textFill>
            <w14:solidFill>
              <w14:schemeClr w14:val="tx1"/>
            </w14:solidFill>
          </w14:textFill>
        </w:rPr>
        <w:t>。</w:t>
      </w:r>
    </w:p>
    <w:p w14:paraId="2D567E67">
      <w:pPr>
        <w:snapToGrid w:val="0"/>
        <w:spacing w:line="360" w:lineRule="auto"/>
        <w:ind w:left="840" w:leftChars="40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签约合同价（暂定）为人民币：</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元（小写：￥</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元）（含税，增值税税率为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，不含税价为￥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元），其中：暂列金为人民币</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元），措施费为人民币</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元（小写：￥</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元），措施费为包干价，本工程结算时措施费不做调整（不随设计变更、现场签证、赶工、夜间施工等调整）。</w:t>
      </w:r>
    </w:p>
    <w:p w14:paraId="2749912B">
      <w:pPr>
        <w:snapToGrid w:val="0"/>
        <w:spacing w:line="360" w:lineRule="auto"/>
        <w:ind w:left="840" w:leftChars="40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综合单价包括但不限于材料费、人工费、机械费、管理费、风险费、损耗费、拆除费、利润、材料送检等一切费用，后期不得调整。</w:t>
      </w:r>
    </w:p>
    <w:p w14:paraId="12499401">
      <w:pPr>
        <w:snapToGrid w:val="0"/>
        <w:spacing w:line="360" w:lineRule="auto"/>
        <w:ind w:left="840" w:leftChars="40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本项目工程款以最终结算价为准。</w:t>
      </w:r>
    </w:p>
    <w:p w14:paraId="319BC2AF">
      <w:pPr>
        <w:numPr>
          <w:ilvl w:val="0"/>
          <w:numId w:val="13"/>
        </w:numPr>
        <w:snapToGrid w:val="0"/>
        <w:spacing w:line="360" w:lineRule="auto"/>
        <w:ind w:firstLine="4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本工程的工程量计算规则采用：</w:t>
      </w:r>
    </w:p>
    <w:p w14:paraId="5EDEB860">
      <w:pPr>
        <w:numPr>
          <w:ilvl w:val="0"/>
          <w:numId w:val="14"/>
        </w:numPr>
        <w:snapToGrid w:val="0"/>
        <w:spacing w:line="360" w:lineRule="auto"/>
        <w:ind w:firstLine="4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《建设工程工程量清单计价规范》(GB50500—2013)；</w:t>
      </w:r>
    </w:p>
    <w:p w14:paraId="3EF494EF">
      <w:pPr>
        <w:numPr>
          <w:ilvl w:val="0"/>
          <w:numId w:val="14"/>
        </w:numPr>
        <w:snapToGrid w:val="0"/>
        <w:spacing w:line="360" w:lineRule="auto"/>
        <w:ind w:firstLine="4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《深圳市建设工程计价规程》（2017）。</w:t>
      </w:r>
    </w:p>
    <w:p w14:paraId="6AB55FFC">
      <w:pPr>
        <w:snapToGrid w:val="0"/>
        <w:spacing w:line="360" w:lineRule="auto"/>
        <w:ind w:firstLine="48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（二）付款方式</w:t>
      </w:r>
    </w:p>
    <w:p w14:paraId="07988915">
      <w:pPr>
        <w:numPr>
          <w:ilvl w:val="0"/>
          <w:numId w:val="15"/>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工程预付款的支付</w:t>
      </w:r>
    </w:p>
    <w:p w14:paraId="1B6458F5">
      <w:pPr>
        <w:keepNext w:val="0"/>
        <w:keepLines w:val="0"/>
        <w:pageBreakBefore w:val="0"/>
        <w:widowControl w:val="0"/>
        <w:kinsoku/>
        <w:wordWrap/>
        <w:overflowPunct/>
        <w:topLinePunct w:val="0"/>
        <w:autoSpaceDE/>
        <w:autoSpaceDN/>
        <w:bidi w:val="0"/>
        <w:adjustRightInd/>
        <w:snapToGrid/>
        <w:spacing w:line="360" w:lineRule="auto"/>
        <w:ind w:left="158" w:leftChars="75" w:firstLine="655" w:firstLineChars="273"/>
        <w:textAlignment w:val="auto"/>
        <w:outlineLvl w:val="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（1）本工程的工程预付款比例为签约合同价（扣除暂列金）的</w:t>
      </w:r>
      <w:r>
        <w:rPr>
          <w:rFonts w:hint="eastAsia" w:asciiTheme="minorEastAsia" w:hAnsi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color w:val="000000" w:themeColor="text1"/>
          <w:sz w:val="24"/>
          <w:szCs w:val="24"/>
          <w:highlight w:val="none"/>
          <w14:textFill>
            <w14:solidFill>
              <w14:schemeClr w14:val="tx1"/>
            </w14:solidFill>
          </w14:textFill>
        </w:rPr>
        <w:t>%，即人民</w:t>
      </w:r>
    </w:p>
    <w:p w14:paraId="191F6182">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币：</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元（小写：￥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元）。</w:t>
      </w:r>
    </w:p>
    <w:p w14:paraId="6DC29432">
      <w:pPr>
        <w:keepNext w:val="0"/>
        <w:keepLines w:val="0"/>
        <w:pageBreakBefore w:val="0"/>
        <w:widowControl w:val="0"/>
        <w:kinsoku/>
        <w:wordWrap/>
        <w:overflowPunct/>
        <w:topLinePunct w:val="0"/>
        <w:autoSpaceDE/>
        <w:autoSpaceDN/>
        <w:bidi w:val="0"/>
        <w:adjustRightInd/>
        <w:snapToGrid/>
        <w:spacing w:line="360" w:lineRule="auto"/>
        <w:ind w:left="158" w:leftChars="75" w:firstLine="655" w:firstLineChars="273"/>
        <w:textAlignment w:val="auto"/>
        <w:outlineLvl w:val="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（2）甲方向乙方支付工程预付款的时间：合同签订且取得开工令</w:t>
      </w:r>
      <w:r>
        <w:rPr>
          <w:rFonts w:hint="eastAsia" w:asciiTheme="minorEastAsia" w:hAnsiTheme="minorEastAsia"/>
          <w:color w:val="000000" w:themeColor="text1"/>
          <w:sz w:val="24"/>
          <w:szCs w:val="24"/>
          <w:highlight w:val="none"/>
          <w:lang w:val="en-US" w:eastAsia="zh-CN"/>
          <w14:textFill>
            <w14:solidFill>
              <w14:schemeClr w14:val="tx1"/>
            </w14:solidFill>
          </w14:textFill>
        </w:rPr>
        <w:t>或书面开工通知</w:t>
      </w:r>
      <w:r>
        <w:rPr>
          <w:rFonts w:hint="eastAsia" w:asciiTheme="minorEastAsia" w:hAnsiTheme="minorEastAsia"/>
          <w:color w:val="000000" w:themeColor="text1"/>
          <w:sz w:val="24"/>
          <w:szCs w:val="24"/>
          <w:highlight w:val="none"/>
          <w14:textFill>
            <w14:solidFill>
              <w14:schemeClr w14:val="tx1"/>
            </w14:solidFill>
          </w14:textFill>
        </w:rPr>
        <w:t>后15个工作日内支付。</w:t>
      </w:r>
    </w:p>
    <w:p w14:paraId="2862E7A5">
      <w:pPr>
        <w:keepNext w:val="0"/>
        <w:keepLines w:val="0"/>
        <w:pageBreakBefore w:val="0"/>
        <w:widowControl w:val="0"/>
        <w:kinsoku/>
        <w:wordWrap/>
        <w:overflowPunct/>
        <w:topLinePunct w:val="0"/>
        <w:autoSpaceDE/>
        <w:autoSpaceDN/>
        <w:bidi w:val="0"/>
        <w:adjustRightInd/>
        <w:snapToGrid/>
        <w:spacing w:line="360" w:lineRule="auto"/>
        <w:ind w:left="158" w:leftChars="75" w:firstLine="655" w:firstLineChars="273"/>
        <w:textAlignment w:val="auto"/>
        <w:outlineLvl w:val="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支付预付款之前，还应具备的条件：①施工合同已完成签订；②乙方已完成驻地建设，并且主要人员和设备到场，以取得开工令为准；③提供相关真实有效的等额增值税专用发票；④提供“建筑安全一切险”（含第三者责任险）保险发票复印件并加盖乙方单位公章，验原件。</w:t>
      </w:r>
    </w:p>
    <w:p w14:paraId="641847D2">
      <w:pPr>
        <w:keepNext w:val="0"/>
        <w:keepLines w:val="0"/>
        <w:pageBreakBefore w:val="0"/>
        <w:widowControl w:val="0"/>
        <w:kinsoku/>
        <w:wordWrap/>
        <w:overflowPunct/>
        <w:topLinePunct w:val="0"/>
        <w:autoSpaceDE/>
        <w:autoSpaceDN/>
        <w:bidi w:val="0"/>
        <w:adjustRightInd/>
        <w:snapToGrid/>
        <w:spacing w:line="360" w:lineRule="auto"/>
        <w:ind w:left="158" w:leftChars="75" w:firstLine="655" w:firstLineChars="273"/>
        <w:textAlignment w:val="auto"/>
        <w:outlineLvl w:val="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（4）预付款中已包含安全文明施工措施费。</w:t>
      </w:r>
    </w:p>
    <w:p w14:paraId="6D3E589B">
      <w:pPr>
        <w:keepNext w:val="0"/>
        <w:keepLines w:val="0"/>
        <w:pageBreakBefore w:val="0"/>
        <w:widowControl w:val="0"/>
        <w:kinsoku/>
        <w:wordWrap/>
        <w:overflowPunct/>
        <w:topLinePunct w:val="0"/>
        <w:autoSpaceDE/>
        <w:autoSpaceDN/>
        <w:bidi w:val="0"/>
        <w:adjustRightInd/>
        <w:snapToGrid/>
        <w:spacing w:line="360" w:lineRule="auto"/>
        <w:ind w:left="158" w:leftChars="75" w:firstLine="655" w:firstLineChars="273"/>
        <w:textAlignment w:val="auto"/>
        <w:outlineLvl w:val="0"/>
        <w:rPr>
          <w:rFonts w:hint="eastAsia" w:asciiTheme="minorEastAsia" w:hAnsi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（5）工程预付款扣回的起扣点：</w:t>
      </w:r>
      <w:r>
        <w:rPr>
          <w:rFonts w:hint="eastAsia" w:asciiTheme="minorEastAsia" w:hAnsiTheme="minorEastAsia"/>
          <w:color w:val="000000" w:themeColor="text1"/>
          <w:sz w:val="24"/>
          <w:szCs w:val="24"/>
          <w:highlight w:val="none"/>
          <w:lang w:val="en-US" w:eastAsia="zh-CN"/>
          <w14:textFill>
            <w14:solidFill>
              <w14:schemeClr w14:val="tx1"/>
            </w14:solidFill>
          </w14:textFill>
        </w:rPr>
        <w:t>第一期工程进度款一次性扣回。</w:t>
      </w:r>
    </w:p>
    <w:p w14:paraId="15271B37">
      <w:pPr>
        <w:numPr>
          <w:ilvl w:val="0"/>
          <w:numId w:val="15"/>
        </w:numPr>
        <w:snapToGrid w:val="0"/>
        <w:spacing w:line="360" w:lineRule="auto"/>
        <w:ind w:left="567" w:firstLine="284"/>
        <w:rPr>
          <w:rFonts w:hint="eastAsia" w:asciiTheme="minorEastAsia" w:hAnsiTheme="minorEastAsia"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Bidi"/>
          <w:color w:val="000000" w:themeColor="text1"/>
          <w:kern w:val="2"/>
          <w:sz w:val="24"/>
          <w:szCs w:val="24"/>
          <w:highlight w:val="none"/>
          <w:lang w:val="en-US" w:eastAsia="zh-CN" w:bidi="ar-SA"/>
          <w14:textFill>
            <w14:solidFill>
              <w14:schemeClr w14:val="tx1"/>
            </w14:solidFill>
          </w14:textFill>
        </w:rPr>
        <w:t>工程进度款根据工程进度按月进行支付(月度工程进度款经甲方审核确认的金额不足10万元的，甲方暂不支付该期工程进度款，该期工程款延至下一期支付)，支付前需提供付款申请资料，经甲方委托的第三方造价咨询单位审核完成后，支付已完工程审核造价的85%。</w:t>
      </w:r>
      <w:r>
        <w:rPr>
          <w:rFonts w:hint="eastAsia" w:asciiTheme="minorEastAsia" w:hAnsiTheme="minorEastAsia" w:cstheme="minorBidi"/>
          <w:color w:val="000000" w:themeColor="text1"/>
          <w:kern w:val="2"/>
          <w:sz w:val="24"/>
          <w:szCs w:val="24"/>
          <w:highlight w:val="none"/>
          <w:lang w:val="en-US" w:eastAsia="zh-CN" w:bidi="ar-SA"/>
          <w14:textFill>
            <w14:solidFill>
              <w14:schemeClr w14:val="tx1"/>
            </w14:solidFill>
          </w14:textFill>
        </w:rPr>
        <w:t>但</w:t>
      </w:r>
      <w:r>
        <w:rPr>
          <w:rFonts w:hint="eastAsia" w:asciiTheme="minorEastAsia" w:hAnsiTheme="minorEastAsia" w:eastAsiaTheme="minorEastAsia" w:cstheme="minorBidi"/>
          <w:color w:val="000000" w:themeColor="text1"/>
          <w:kern w:val="2"/>
          <w:sz w:val="24"/>
          <w:szCs w:val="24"/>
          <w:highlight w:val="none"/>
          <w:lang w:val="en-US" w:eastAsia="zh-CN" w:bidi="ar-SA"/>
          <w14:textFill>
            <w14:solidFill>
              <w14:schemeClr w14:val="tx1"/>
            </w14:solidFill>
          </w14:textFill>
        </w:rPr>
        <w:t>进度款累计支付比例不超过签约合同价(扣除暂列金及合同扣减部分)的 85%。</w:t>
      </w:r>
    </w:p>
    <w:p w14:paraId="1A3DD55F">
      <w:pPr>
        <w:numPr>
          <w:ilvl w:val="0"/>
          <w:numId w:val="15"/>
        </w:numPr>
        <w:snapToGrid w:val="0"/>
        <w:spacing w:line="360" w:lineRule="auto"/>
        <w:ind w:left="567" w:firstLine="284"/>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Bidi"/>
          <w:color w:val="000000" w:themeColor="text1"/>
          <w:kern w:val="2"/>
          <w:sz w:val="24"/>
          <w:szCs w:val="24"/>
          <w:highlight w:val="none"/>
          <w:lang w:val="en-US" w:eastAsia="zh-CN" w:bidi="ar-SA"/>
          <w14:textFill>
            <w14:solidFill>
              <w14:schemeClr w14:val="tx1"/>
            </w14:solidFill>
          </w14:textFill>
        </w:rPr>
        <w:t>工程全部完工，竣工验收合格并移交甲方后，支付至签约合同价(扣除暂列金及合同扣减部分)的85%</w:t>
      </w:r>
      <w:r>
        <w:rPr>
          <w:rFonts w:hint="eastAsia" w:asciiTheme="minorEastAsia" w:hAnsiTheme="minorEastAsia" w:cstheme="minorBidi"/>
          <w:color w:val="000000" w:themeColor="text1"/>
          <w:kern w:val="2"/>
          <w:sz w:val="24"/>
          <w:szCs w:val="24"/>
          <w:highlight w:val="none"/>
          <w:lang w:val="en-US" w:eastAsia="zh-CN" w:bidi="ar-SA"/>
          <w14:textFill>
            <w14:solidFill>
              <w14:schemeClr w14:val="tx1"/>
            </w14:solidFill>
          </w14:textFill>
        </w:rPr>
        <w:t>。</w:t>
      </w:r>
    </w:p>
    <w:p w14:paraId="1C1C545A">
      <w:pPr>
        <w:numPr>
          <w:ilvl w:val="0"/>
          <w:numId w:val="15"/>
        </w:numPr>
        <w:snapToGrid w:val="0"/>
        <w:spacing w:line="360" w:lineRule="auto"/>
        <w:ind w:left="567" w:firstLine="284"/>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乙方提交结算报告及完整的结算资料，通过甲方及造价咨询单位审核之日起</w:t>
      </w:r>
      <w:r>
        <w:rPr>
          <w:rFonts w:hint="eastAsia" w:asciiTheme="minorEastAsia" w:hAnsi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color w:val="000000" w:themeColor="text1"/>
          <w:sz w:val="24"/>
          <w:szCs w:val="24"/>
          <w:highlight w:val="none"/>
          <w14:textFill>
            <w14:solidFill>
              <w14:schemeClr w14:val="tx1"/>
            </w14:solidFill>
          </w14:textFill>
        </w:rPr>
        <w:t>个工作日内，按甲方及咨询单位最终确认的结算金额扣除已付款及质量保证金后结清剩余款项，乙方须同时提供质保金的增值税专用发票。</w:t>
      </w:r>
    </w:p>
    <w:p w14:paraId="3B1349B3">
      <w:pPr>
        <w:numPr>
          <w:ilvl w:val="0"/>
          <w:numId w:val="15"/>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甲方向乙方支付工程款前，乙方需向甲方提交付款申请</w:t>
      </w:r>
      <w:r>
        <w:rPr>
          <w:rFonts w:hint="eastAsia" w:ascii="宋体" w:hAnsi="宋体" w:eastAsia="宋体" w:cs="宋体"/>
          <w:color w:val="000000" w:themeColor="text1"/>
          <w:sz w:val="24"/>
          <w:szCs w:val="24"/>
          <w:highlight w:val="none"/>
          <w14:textFill>
            <w14:solidFill>
              <w14:schemeClr w14:val="tx1"/>
            </w14:solidFill>
          </w14:textFill>
        </w:rPr>
        <w:t>等资料</w:t>
      </w:r>
      <w:r>
        <w:rPr>
          <w:rFonts w:hint="eastAsia" w:asciiTheme="minorEastAsia" w:hAnsiTheme="minorEastAsia"/>
          <w:color w:val="000000" w:themeColor="text1"/>
          <w:sz w:val="24"/>
          <w:szCs w:val="24"/>
          <w:highlight w:val="none"/>
          <w14:textFill>
            <w14:solidFill>
              <w14:schemeClr w14:val="tx1"/>
            </w14:solidFill>
          </w14:textFill>
        </w:rPr>
        <w:t>及等额增值税专用发票，否则甲方有权拒绝付款，且不视为违约。同时，乙方保证所提供发票的真实合法性，如因提供虚假发票造成甲方损失的，甲方将永久保留追索损失的权利。</w:t>
      </w:r>
    </w:p>
    <w:p w14:paraId="4DD2A144">
      <w:pPr>
        <w:numPr>
          <w:ilvl w:val="0"/>
          <w:numId w:val="15"/>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本工程约定的工程质量保证金为工程结算价的3%，于本工程竣工验收合格之日起满</w:t>
      </w:r>
      <w:r>
        <w:rPr>
          <w:rFonts w:hint="eastAsia" w:asciiTheme="minorEastAsia" w:hAnsiTheme="minorEastAsia"/>
          <w:color w:val="000000" w:themeColor="text1"/>
          <w:sz w:val="24"/>
          <w:szCs w:val="24"/>
          <w:highlight w:val="none"/>
          <w:lang w:val="en-US" w:eastAsia="zh-CN"/>
          <w14:textFill>
            <w14:solidFill>
              <w14:schemeClr w14:val="tx1"/>
            </w14:solidFill>
          </w14:textFill>
        </w:rPr>
        <w:t>五</w:t>
      </w:r>
      <w:r>
        <w:rPr>
          <w:rFonts w:hint="eastAsia" w:asciiTheme="minorEastAsia" w:hAnsiTheme="minorEastAsia"/>
          <w:color w:val="000000" w:themeColor="text1"/>
          <w:sz w:val="24"/>
          <w:szCs w:val="24"/>
          <w:highlight w:val="none"/>
          <w14:textFill>
            <w14:solidFill>
              <w14:schemeClr w14:val="tx1"/>
            </w14:solidFill>
          </w14:textFill>
        </w:rPr>
        <w:t>年后，经甲方审核确认无保修质量问题后的30天内，无息支付（扣除所有扣款后的费用总额）。但不免除乙方在工程保修期内的保修责任。</w:t>
      </w:r>
    </w:p>
    <w:p w14:paraId="70FC47D1">
      <w:pPr>
        <w:snapToGrid w:val="0"/>
        <w:spacing w:line="360" w:lineRule="auto"/>
        <w:ind w:firstLine="48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w:t>
      </w:r>
      <w:r>
        <w:rPr>
          <w:rFonts w:hint="eastAsia" w:asciiTheme="minorEastAsia" w:hAnsiTheme="minorEastAsia"/>
          <w:color w:val="000000" w:themeColor="text1"/>
          <w:sz w:val="24"/>
          <w:szCs w:val="24"/>
          <w:highlight w:val="none"/>
          <w14:textFill>
            <w14:solidFill>
              <w14:schemeClr w14:val="tx1"/>
            </w14:solidFill>
          </w14:textFill>
        </w:rPr>
        <w:t>三</w:t>
      </w:r>
      <w:r>
        <w:rPr>
          <w:rFonts w:asciiTheme="minorEastAsia" w:hAnsiTheme="minorEastAsia"/>
          <w:color w:val="000000" w:themeColor="text1"/>
          <w:sz w:val="24"/>
          <w:szCs w:val="24"/>
          <w:highlight w:val="none"/>
          <w14:textFill>
            <w14:solidFill>
              <w14:schemeClr w14:val="tx1"/>
            </w14:solidFill>
          </w14:textFill>
        </w:rPr>
        <w:t>）变更、签证工程价款的确定</w:t>
      </w:r>
      <w:r>
        <w:rPr>
          <w:rFonts w:hint="eastAsia" w:asciiTheme="minorEastAsia" w:hAnsiTheme="minorEastAsia"/>
          <w:color w:val="000000" w:themeColor="text1"/>
          <w:sz w:val="24"/>
          <w:szCs w:val="24"/>
          <w:highlight w:val="none"/>
          <w14:textFill>
            <w14:solidFill>
              <w14:schemeClr w14:val="tx1"/>
            </w14:solidFill>
          </w14:textFill>
        </w:rPr>
        <w:t>依据及</w:t>
      </w:r>
      <w:r>
        <w:rPr>
          <w:rFonts w:asciiTheme="minorEastAsia" w:hAnsiTheme="minorEastAsia"/>
          <w:color w:val="000000" w:themeColor="text1"/>
          <w:sz w:val="24"/>
          <w:szCs w:val="24"/>
          <w:highlight w:val="none"/>
          <w14:textFill>
            <w14:solidFill>
              <w14:schemeClr w14:val="tx1"/>
            </w14:solidFill>
          </w14:textFill>
        </w:rPr>
        <w:t>方法</w:t>
      </w:r>
    </w:p>
    <w:p w14:paraId="4C490AB1">
      <w:pPr>
        <w:numPr>
          <w:ilvl w:val="0"/>
          <w:numId w:val="16"/>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建设工程工程量清单计价规范》（GB50500-2013）、《房屋建筑与装饰工程工程量清单计算规范》（GB50854-2013）、《通用安装工程工程量清单计算规范》（GB50856-2013）、《深圳市建设工程计价规程2017》、《深圳市建设工程计价费率标准(2023)》等规定的项目名称、项目特征、计量单位、工程量计算规则、工程内容。</w:t>
      </w:r>
    </w:p>
    <w:p w14:paraId="71FE9AD8">
      <w:pPr>
        <w:numPr>
          <w:ilvl w:val="0"/>
          <w:numId w:val="16"/>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《深圳市建筑工程消耗量标准（2024）》、《深圳市装饰工程消耗量标准（2025）》、《深圳市安装工程消耗量标准（2025）》、《深圳市房屋修缮工程消耗量标准（2024）》。</w:t>
      </w:r>
    </w:p>
    <w:p w14:paraId="5BEC48D4">
      <w:pPr>
        <w:numPr>
          <w:ilvl w:val="0"/>
          <w:numId w:val="16"/>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变更及签证预算单价需按中标下浮率</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下浮后确定。</w:t>
      </w:r>
    </w:p>
    <w:p w14:paraId="40D0213A">
      <w:pPr>
        <w:numPr>
          <w:ilvl w:val="0"/>
          <w:numId w:val="16"/>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材料价格按深圳市建设工程造价信息查询系统中所载明的“深圳市建设工程价格信息”（202</w:t>
      </w:r>
      <w:r>
        <w:rPr>
          <w:rFonts w:hint="eastAsia" w:asciiTheme="minorEastAsia" w:hAnsi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color w:val="000000" w:themeColor="text1"/>
          <w:sz w:val="24"/>
          <w:szCs w:val="24"/>
          <w:highlight w:val="none"/>
          <w14:textFill>
            <w14:solidFill>
              <w14:schemeClr w14:val="tx1"/>
            </w14:solidFill>
          </w14:textFill>
        </w:rPr>
        <w:t>年</w:t>
      </w:r>
      <w:r>
        <w:rPr>
          <w:rFonts w:hint="eastAsia" w:asciiTheme="minorEastAsia" w:hAnsi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color w:val="000000" w:themeColor="text1"/>
          <w:sz w:val="24"/>
          <w:szCs w:val="24"/>
          <w:highlight w:val="none"/>
          <w14:textFill>
            <w14:solidFill>
              <w14:schemeClr w14:val="tx1"/>
            </w14:solidFill>
          </w14:textFill>
        </w:rPr>
        <w:t>月）的含税价计取,上述价格信息没有明确载明的材料价格,由乙方采用市场询价的方式确定单价（市场询价不参与下浮），但询价对象、结果、方式和次数等关键信息应报甲方聘请的造价咨询单位审核确认。人工工日单价按深圳市建设工程造价信息查询系统中所载明的“深圳市建设工程造价指数”（202</w:t>
      </w:r>
      <w:r>
        <w:rPr>
          <w:rFonts w:hint="eastAsia" w:asciiTheme="minorEastAsia" w:hAnsi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color w:val="000000" w:themeColor="text1"/>
          <w:sz w:val="24"/>
          <w:szCs w:val="24"/>
          <w:highlight w:val="none"/>
          <w14:textFill>
            <w14:solidFill>
              <w14:schemeClr w14:val="tx1"/>
            </w14:solidFill>
          </w14:textFill>
        </w:rPr>
        <w:t>年</w:t>
      </w:r>
      <w:r>
        <w:rPr>
          <w:rFonts w:hint="eastAsia" w:asciiTheme="minorEastAsia" w:hAnsi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color w:val="000000" w:themeColor="text1"/>
          <w:sz w:val="24"/>
          <w:szCs w:val="24"/>
          <w:highlight w:val="none"/>
          <w14:textFill>
            <w14:solidFill>
              <w14:schemeClr w14:val="tx1"/>
            </w14:solidFill>
          </w14:textFill>
        </w:rPr>
        <w:t xml:space="preserve">月）的定额人工指数据实计取。 </w:t>
      </w:r>
    </w:p>
    <w:p w14:paraId="136DD5E5">
      <w:pPr>
        <w:numPr>
          <w:ilvl w:val="0"/>
          <w:numId w:val="16"/>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各类取费: 管理费、利润、规费、措施项目费率及增值税综合应纳税费率标准按深圳市住房和建设局发布的《深圳市建设工程计价费率标准(2023)》推荐费率计算。</w:t>
      </w:r>
    </w:p>
    <w:p w14:paraId="2143A869">
      <w:pPr>
        <w:numPr>
          <w:ilvl w:val="0"/>
          <w:numId w:val="16"/>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olor w:val="000000" w:themeColor="text1"/>
          <w:sz w:val="24"/>
          <w:szCs w:val="24"/>
          <w:highlight w:val="none"/>
          <w:shd w:val="clear" w:color="auto" w:fill="FFFFFF"/>
          <w14:textFill>
            <w14:solidFill>
              <w14:schemeClr w14:val="tx1"/>
            </w14:solidFill>
          </w14:textFill>
        </w:rPr>
        <w:t>深圳市现行相关计价规范及标准。</w:t>
      </w:r>
    </w:p>
    <w:p w14:paraId="21A584A8">
      <w:pPr>
        <w:snapToGrid w:val="0"/>
        <w:spacing w:line="360" w:lineRule="auto"/>
        <w:ind w:left="840"/>
        <w:rPr>
          <w:rFonts w:hint="eastAsia" w:eastAsia="宋体" w:asciiTheme="minorEastAsia" w:hAnsiTheme="minorEastAsia"/>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shd w:val="clear" w:color="auto" w:fill="FFFFFF"/>
          <w14:textFill>
            <w14:solidFill>
              <w14:schemeClr w14:val="tx1"/>
            </w14:solidFill>
          </w14:textFill>
        </w:rPr>
        <w:t>以上文件如在招标期间主管部门发布新的规范性文件，以新的文件为准。</w:t>
      </w:r>
    </w:p>
    <w:p w14:paraId="756DEF40">
      <w:pPr>
        <w:numPr>
          <w:ilvl w:val="0"/>
          <w:numId w:val="16"/>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甲方下发的</w:t>
      </w:r>
      <w:r>
        <w:rPr>
          <w:rFonts w:hint="eastAsia" w:ascii="宋体" w:hAnsi="宋体" w:eastAsia="宋体"/>
          <w:color w:val="000000" w:themeColor="text1"/>
          <w:sz w:val="24"/>
          <w:szCs w:val="24"/>
          <w:highlight w:val="none"/>
          <w:shd w:val="clear" w:color="auto" w:fill="FFFFFF"/>
          <w14:textFill>
            <w14:solidFill>
              <w14:schemeClr w14:val="tx1"/>
            </w14:solidFill>
          </w14:textFill>
        </w:rPr>
        <w:t>施工蓝图及与之配套的相关图籍（含定板定样）。</w:t>
      </w:r>
    </w:p>
    <w:p w14:paraId="11B6472D">
      <w:pPr>
        <w:numPr>
          <w:ilvl w:val="0"/>
          <w:numId w:val="16"/>
        </w:numPr>
        <w:snapToGrid w:val="0"/>
        <w:spacing w:line="360" w:lineRule="auto"/>
        <w:ind w:left="625" w:firstLine="215"/>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由</w:t>
      </w:r>
      <w:r>
        <w:rPr>
          <w:rFonts w:hint="eastAsia" w:asciiTheme="minorEastAsia" w:hAnsiTheme="minorEastAsia"/>
          <w:color w:val="000000" w:themeColor="text1"/>
          <w:sz w:val="24"/>
          <w:szCs w:val="24"/>
          <w:highlight w:val="none"/>
          <w14:textFill>
            <w14:solidFill>
              <w14:schemeClr w14:val="tx1"/>
            </w14:solidFill>
          </w14:textFill>
        </w:rPr>
        <w:t>甲方</w:t>
      </w:r>
      <w:r>
        <w:rPr>
          <w:rFonts w:asciiTheme="minorEastAsia" w:hAnsiTheme="minorEastAsia"/>
          <w:color w:val="000000" w:themeColor="text1"/>
          <w:sz w:val="24"/>
          <w:szCs w:val="24"/>
          <w:highlight w:val="none"/>
          <w14:textFill>
            <w14:solidFill>
              <w14:schemeClr w14:val="tx1"/>
            </w14:solidFill>
          </w14:textFill>
        </w:rPr>
        <w:t>批准并发出的书面变更指令，属于变更。包括</w:t>
      </w:r>
      <w:r>
        <w:rPr>
          <w:rFonts w:hint="eastAsia" w:asciiTheme="minorEastAsia" w:hAnsiTheme="minorEastAsia"/>
          <w:color w:val="000000" w:themeColor="text1"/>
          <w:sz w:val="24"/>
          <w:szCs w:val="24"/>
          <w:highlight w:val="none"/>
          <w14:textFill>
            <w14:solidFill>
              <w14:schemeClr w14:val="tx1"/>
            </w14:solidFill>
          </w14:textFill>
        </w:rPr>
        <w:t>甲方</w:t>
      </w:r>
      <w:r>
        <w:rPr>
          <w:rFonts w:asciiTheme="minorEastAsia" w:hAnsiTheme="minorEastAsia"/>
          <w:color w:val="000000" w:themeColor="text1"/>
          <w:sz w:val="24"/>
          <w:szCs w:val="24"/>
          <w:highlight w:val="none"/>
          <w14:textFill>
            <w14:solidFill>
              <w14:schemeClr w14:val="tx1"/>
            </w14:solidFill>
          </w14:textFill>
        </w:rPr>
        <w:t>直接下达的变更指令、或经</w:t>
      </w:r>
      <w:r>
        <w:rPr>
          <w:rFonts w:hint="eastAsia" w:asciiTheme="minorEastAsia" w:hAnsiTheme="minorEastAsia"/>
          <w:color w:val="000000" w:themeColor="text1"/>
          <w:sz w:val="24"/>
          <w:szCs w:val="24"/>
          <w:highlight w:val="none"/>
          <w14:textFill>
            <w14:solidFill>
              <w14:schemeClr w14:val="tx1"/>
            </w14:solidFill>
          </w14:textFill>
        </w:rPr>
        <w:t>甲方</w:t>
      </w:r>
      <w:r>
        <w:rPr>
          <w:rFonts w:asciiTheme="minorEastAsia" w:hAnsiTheme="minorEastAsia"/>
          <w:color w:val="000000" w:themeColor="text1"/>
          <w:sz w:val="24"/>
          <w:szCs w:val="24"/>
          <w:highlight w:val="none"/>
          <w14:textFill>
            <w14:solidFill>
              <w14:schemeClr w14:val="tx1"/>
            </w14:solidFill>
          </w14:textFill>
        </w:rPr>
        <w:t>批准的由监理人下达的变更指令。</w:t>
      </w:r>
      <w:r>
        <w:rPr>
          <w:rFonts w:hint="eastAsia" w:asciiTheme="minorEastAsia" w:hAnsiTheme="minorEastAsia"/>
          <w:color w:val="000000" w:themeColor="text1"/>
          <w:sz w:val="24"/>
          <w:szCs w:val="24"/>
          <w:highlight w:val="none"/>
          <w14:textFill>
            <w14:solidFill>
              <w14:schemeClr w14:val="tx1"/>
            </w14:solidFill>
          </w14:textFill>
        </w:rPr>
        <w:t>乙方</w:t>
      </w:r>
      <w:r>
        <w:rPr>
          <w:rFonts w:asciiTheme="minorEastAsia" w:hAnsiTheme="minorEastAsia"/>
          <w:color w:val="000000" w:themeColor="text1"/>
          <w:sz w:val="24"/>
          <w:szCs w:val="24"/>
          <w:highlight w:val="none"/>
          <w14:textFill>
            <w14:solidFill>
              <w14:schemeClr w14:val="tx1"/>
            </w14:solidFill>
          </w14:textFill>
        </w:rPr>
        <w:t>对自身的采购、施工、竣工试验、竣工后试验存在的缺陷，应自费修正、调整和完善，不属于变更。</w:t>
      </w:r>
    </w:p>
    <w:p w14:paraId="78240231">
      <w:pPr>
        <w:snapToGrid w:val="0"/>
        <w:spacing w:line="360" w:lineRule="auto"/>
        <w:ind w:firstLine="48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w:t>
      </w:r>
      <w:r>
        <w:rPr>
          <w:rFonts w:hint="eastAsia" w:asciiTheme="minorEastAsia" w:hAnsiTheme="minorEastAsia"/>
          <w:color w:val="000000" w:themeColor="text1"/>
          <w:sz w:val="24"/>
          <w:szCs w:val="24"/>
          <w:highlight w:val="none"/>
          <w14:textFill>
            <w14:solidFill>
              <w14:schemeClr w14:val="tx1"/>
            </w14:solidFill>
          </w14:textFill>
        </w:rPr>
        <w:t>四</w:t>
      </w:r>
      <w:r>
        <w:rPr>
          <w:rFonts w:asciiTheme="minorEastAsia" w:hAnsiTheme="minorEastAsia"/>
          <w:color w:val="000000" w:themeColor="text1"/>
          <w:sz w:val="24"/>
          <w:szCs w:val="24"/>
          <w:highlight w:val="none"/>
          <w14:textFill>
            <w14:solidFill>
              <w14:schemeClr w14:val="tx1"/>
            </w14:solidFill>
          </w14:textFill>
        </w:rPr>
        <w:t>）</w:t>
      </w:r>
      <w:r>
        <w:rPr>
          <w:rFonts w:hint="eastAsia" w:asciiTheme="minorEastAsia" w:hAnsiTheme="minorEastAsia"/>
          <w:color w:val="000000" w:themeColor="text1"/>
          <w:sz w:val="24"/>
          <w:szCs w:val="24"/>
          <w:highlight w:val="none"/>
          <w14:textFill>
            <w14:solidFill>
              <w14:schemeClr w14:val="tx1"/>
            </w14:solidFill>
          </w14:textFill>
        </w:rPr>
        <w:t>竣工结算书的编制和提交</w:t>
      </w:r>
    </w:p>
    <w:p w14:paraId="10D076CC">
      <w:pPr>
        <w:pStyle w:val="63"/>
        <w:numPr>
          <w:ilvl w:val="0"/>
          <w:numId w:val="17"/>
        </w:numPr>
        <w:spacing w:line="360" w:lineRule="auto"/>
        <w:ind w:firstLineChars="0"/>
        <w:outlineLvl w:val="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乙方应按照本合同第四条中关于工程费用的约定编制结算书。</w:t>
      </w:r>
    </w:p>
    <w:p w14:paraId="6A009A2F">
      <w:pPr>
        <w:pStyle w:val="63"/>
        <w:numPr>
          <w:ilvl w:val="0"/>
          <w:numId w:val="17"/>
        </w:numPr>
        <w:spacing w:line="360" w:lineRule="auto"/>
        <w:ind w:firstLineChars="0"/>
        <w:outlineLvl w:val="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乙方应在取得竣工验收合格报告后60日内向甲方提交完整的结算资料，资料包括但不限于：施工合同、招标文件、投标文件、开工令、图纸会审记录、施工组织设计、施工图、竣工图、签证单、变更单、竣工验收报告、竣工结算书等与竣工结算直接相关的所有资料（同时提供对应电子版文件）。</w:t>
      </w:r>
    </w:p>
    <w:p w14:paraId="591DDA59">
      <w:pPr>
        <w:snapToGrid w:val="0"/>
        <w:spacing w:line="360" w:lineRule="auto"/>
        <w:ind w:firstLine="48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b/>
          <w:bCs/>
          <w:color w:val="000000" w:themeColor="text1"/>
          <w:spacing w:val="8"/>
          <w:sz w:val="24"/>
          <w:szCs w:val="24"/>
          <w:highlight w:val="none"/>
          <w14:textFill>
            <w14:solidFill>
              <w14:schemeClr w14:val="tx1"/>
            </w14:solidFill>
          </w14:textFill>
        </w:rPr>
        <w:t>第五条 双方义务</w:t>
      </w:r>
    </w:p>
    <w:p w14:paraId="71DC7B9B">
      <w:pPr>
        <w:pStyle w:val="3"/>
        <w:snapToGrid w:val="0"/>
        <w:spacing w:line="360" w:lineRule="auto"/>
        <w:ind w:firstLine="482"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（一）甲方义务</w:t>
      </w:r>
    </w:p>
    <w:p w14:paraId="157FA2B1">
      <w:pPr>
        <w:snapToGrid w:val="0"/>
        <w:spacing w:line="360" w:lineRule="auto"/>
        <w:ind w:left="105" w:firstLine="42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1、委派现场代表负责对施工进行全面管理，解决施工过程中出现的需要甲方协调的相关问题，并参与现场各种验收和签证工作。如变更现场代表应及时通知乙方。</w:t>
      </w:r>
    </w:p>
    <w:p w14:paraId="72230D6B">
      <w:pPr>
        <w:snapToGrid w:val="0"/>
        <w:spacing w:line="360" w:lineRule="auto"/>
        <w:ind w:right="26" w:firstLine="48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2、向乙方提供现场用水、用电接驳点（水电费由乙方承担）。</w:t>
      </w:r>
    </w:p>
    <w:p w14:paraId="12182E3D">
      <w:pPr>
        <w:snapToGrid w:val="0"/>
        <w:spacing w:line="360" w:lineRule="auto"/>
        <w:ind w:right="-58"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3、负责协调乙方与其他各承包单位的关系。</w:t>
      </w:r>
    </w:p>
    <w:p w14:paraId="0FA254A7">
      <w:pPr>
        <w:pStyle w:val="3"/>
        <w:snapToGrid w:val="0"/>
        <w:spacing w:line="360" w:lineRule="auto"/>
        <w:ind w:firstLine="482" w:firstLineChars="20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（二）乙方义务</w:t>
      </w:r>
    </w:p>
    <w:p w14:paraId="03729472">
      <w:pPr>
        <w:snapToGrid w:val="0"/>
        <w:spacing w:line="360" w:lineRule="auto"/>
        <w:ind w:firstLine="48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1、委派现场代表</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asciiTheme="minorEastAsia" w:hAnsiTheme="minorEastAsia"/>
          <w:color w:val="000000" w:themeColor="text1"/>
          <w:sz w:val="24"/>
          <w:szCs w:val="24"/>
          <w:highlight w:val="none"/>
          <w14:textFill>
            <w14:solidFill>
              <w14:schemeClr w14:val="tx1"/>
            </w14:solidFill>
          </w14:textFill>
        </w:rPr>
        <w:t>负责现场施工全面管理。该现场代表须持有与本项目相适应的资格证书</w:t>
      </w:r>
      <w:r>
        <w:rPr>
          <w:rFonts w:asciiTheme="minorEastAsia" w:hAnsiTheme="minorEastAsia"/>
          <w:i/>
          <w:iCs/>
          <w:color w:val="000000" w:themeColor="text1"/>
          <w:sz w:val="24"/>
          <w:szCs w:val="24"/>
          <w:highlight w:val="none"/>
          <w14:textFill>
            <w14:solidFill>
              <w14:schemeClr w14:val="tx1"/>
            </w14:solidFill>
          </w14:textFill>
        </w:rPr>
        <w:t>，</w:t>
      </w:r>
      <w:r>
        <w:rPr>
          <w:rFonts w:asciiTheme="minorEastAsia" w:hAnsiTheme="minorEastAsia"/>
          <w:color w:val="000000" w:themeColor="text1"/>
          <w:sz w:val="24"/>
          <w:szCs w:val="24"/>
          <w:highlight w:val="none"/>
          <w14:textFill>
            <w14:solidFill>
              <w14:schemeClr w14:val="tx1"/>
            </w14:solidFill>
          </w14:textFill>
        </w:rPr>
        <w:t>如变更现场代表应事先经甲方书面同意。</w:t>
      </w:r>
    </w:p>
    <w:p w14:paraId="47D9A397">
      <w:pPr>
        <w:snapToGrid w:val="0"/>
        <w:spacing w:line="360" w:lineRule="auto"/>
        <w:ind w:firstLine="48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2、乙方应当具备中华人民共和国政府认可的与本合同工程施工相应的资质证书。如因资质证书</w:t>
      </w:r>
      <w:r>
        <w:rPr>
          <w:rFonts w:hint="eastAsia" w:asciiTheme="minorEastAsia" w:hAnsiTheme="minorEastAsia"/>
          <w:color w:val="000000" w:themeColor="text1"/>
          <w:sz w:val="24"/>
          <w:szCs w:val="24"/>
          <w:highlight w:val="none"/>
          <w14:textFill>
            <w14:solidFill>
              <w14:schemeClr w14:val="tx1"/>
            </w14:solidFill>
          </w14:textFill>
        </w:rPr>
        <w:t>过期、虚假等问题</w:t>
      </w:r>
      <w:r>
        <w:rPr>
          <w:rFonts w:asciiTheme="minorEastAsia" w:hAnsiTheme="minorEastAsia"/>
          <w:color w:val="000000" w:themeColor="text1"/>
          <w:sz w:val="24"/>
          <w:szCs w:val="24"/>
          <w:highlight w:val="none"/>
          <w14:textFill>
            <w14:solidFill>
              <w14:schemeClr w14:val="tx1"/>
            </w14:solidFill>
          </w14:textFill>
        </w:rPr>
        <w:t>造成甲方损失的，乙方应当赔偿损失。</w:t>
      </w:r>
    </w:p>
    <w:p w14:paraId="2F7469E2">
      <w:pPr>
        <w:snapToGrid w:val="0"/>
        <w:spacing w:line="360" w:lineRule="auto"/>
        <w:ind w:firstLine="48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w:t>
      </w:r>
      <w:r>
        <w:rPr>
          <w:rFonts w:asciiTheme="minorEastAsia" w:hAnsiTheme="minorEastAsia"/>
          <w:color w:val="000000" w:themeColor="text1"/>
          <w:sz w:val="24"/>
          <w:szCs w:val="24"/>
          <w:highlight w:val="none"/>
          <w14:textFill>
            <w14:solidFill>
              <w14:schemeClr w14:val="tx1"/>
            </w14:solidFill>
          </w14:textFill>
        </w:rPr>
        <w:t>、乙方须按甲方确认的施工做法及技术要求进行施工，并按时提交施工验收报告</w:t>
      </w:r>
      <w:r>
        <w:rPr>
          <w:rFonts w:hint="eastAsia" w:asciiTheme="minorEastAsia" w:hAnsiTheme="minorEastAsia"/>
          <w:color w:val="000000" w:themeColor="text1"/>
          <w:sz w:val="24"/>
          <w:szCs w:val="24"/>
          <w:highlight w:val="none"/>
          <w14:textFill>
            <w14:solidFill>
              <w14:schemeClr w14:val="tx1"/>
            </w14:solidFill>
          </w14:textFill>
        </w:rPr>
        <w:t>和竣工资料（竣工资料应满足建设工程质量管理条例要求）</w:t>
      </w:r>
      <w:r>
        <w:rPr>
          <w:rFonts w:asciiTheme="minorEastAsia" w:hAnsiTheme="minorEastAsia"/>
          <w:color w:val="000000" w:themeColor="text1"/>
          <w:sz w:val="24"/>
          <w:szCs w:val="24"/>
          <w:highlight w:val="none"/>
          <w14:textFill>
            <w14:solidFill>
              <w14:schemeClr w14:val="tx1"/>
            </w14:solidFill>
          </w14:textFill>
        </w:rPr>
        <w:t>，并对其提交成果报告的真实性、有效性、准确性负责。</w:t>
      </w:r>
    </w:p>
    <w:p w14:paraId="092F50EB">
      <w:pPr>
        <w:snapToGrid w:val="0"/>
        <w:spacing w:line="36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w:t>
      </w:r>
      <w:r>
        <w:rPr>
          <w:rFonts w:asciiTheme="minorEastAsia" w:hAnsiTheme="minorEastAsia"/>
          <w:color w:val="000000" w:themeColor="text1"/>
          <w:sz w:val="24"/>
          <w:szCs w:val="24"/>
          <w:highlight w:val="none"/>
          <w14:textFill>
            <w14:solidFill>
              <w14:schemeClr w14:val="tx1"/>
            </w14:solidFill>
          </w14:textFill>
        </w:rPr>
        <w:t>、达到本合同约定的付款条件并经甲方确认后应向甲方</w:t>
      </w:r>
      <w:r>
        <w:rPr>
          <w:rFonts w:hint="eastAsia" w:asciiTheme="minorEastAsia" w:hAnsiTheme="minorEastAsia"/>
          <w:color w:val="000000" w:themeColor="text1"/>
          <w:sz w:val="24"/>
          <w:szCs w:val="24"/>
          <w:highlight w:val="none"/>
          <w:lang w:val="en-US" w:eastAsia="zh-CN"/>
          <w14:textFill>
            <w14:solidFill>
              <w14:schemeClr w14:val="tx1"/>
            </w14:solidFill>
          </w14:textFill>
        </w:rPr>
        <w:t>提供</w:t>
      </w:r>
      <w:r>
        <w:rPr>
          <w:rFonts w:asciiTheme="minorEastAsia" w:hAnsiTheme="minorEastAsia"/>
          <w:color w:val="000000" w:themeColor="text1"/>
          <w:sz w:val="24"/>
          <w:szCs w:val="24"/>
          <w:highlight w:val="none"/>
          <w14:textFill>
            <w14:solidFill>
              <w14:schemeClr w14:val="tx1"/>
            </w14:solidFill>
          </w14:textFill>
        </w:rPr>
        <w:t>付款通知</w:t>
      </w: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发票</w:t>
      </w:r>
      <w:r>
        <w:rPr>
          <w:rFonts w:asciiTheme="minorEastAsia" w:hAnsiTheme="minorEastAsia"/>
          <w:color w:val="000000" w:themeColor="text1"/>
          <w:sz w:val="24"/>
          <w:szCs w:val="24"/>
          <w:highlight w:val="none"/>
          <w14:textFill>
            <w14:solidFill>
              <w14:schemeClr w14:val="tx1"/>
            </w14:solidFill>
          </w14:textFill>
        </w:rPr>
        <w:t>及</w:t>
      </w:r>
      <w:r>
        <w:rPr>
          <w:rFonts w:hint="eastAsia" w:asciiTheme="minorEastAsia" w:hAnsiTheme="minorEastAsia"/>
          <w:color w:val="000000" w:themeColor="text1"/>
          <w:sz w:val="24"/>
          <w:szCs w:val="24"/>
          <w:highlight w:val="none"/>
          <w14:textFill>
            <w14:solidFill>
              <w14:schemeClr w14:val="tx1"/>
            </w14:solidFill>
          </w14:textFill>
        </w:rPr>
        <w:t>合同约定的</w:t>
      </w:r>
      <w:r>
        <w:rPr>
          <w:rFonts w:asciiTheme="minorEastAsia" w:hAnsiTheme="minorEastAsia"/>
          <w:color w:val="000000" w:themeColor="text1"/>
          <w:sz w:val="24"/>
          <w:szCs w:val="24"/>
          <w:highlight w:val="none"/>
          <w14:textFill>
            <w14:solidFill>
              <w14:schemeClr w14:val="tx1"/>
            </w14:solidFill>
          </w14:textFill>
        </w:rPr>
        <w:t>相关</w:t>
      </w:r>
      <w:r>
        <w:rPr>
          <w:rFonts w:hint="eastAsia" w:asciiTheme="minorEastAsia" w:hAnsiTheme="minorEastAsia"/>
          <w:color w:val="000000" w:themeColor="text1"/>
          <w:sz w:val="24"/>
          <w:szCs w:val="24"/>
          <w:highlight w:val="none"/>
          <w14:textFill>
            <w14:solidFill>
              <w14:schemeClr w14:val="tx1"/>
            </w14:solidFill>
          </w14:textFill>
        </w:rPr>
        <w:t>付款</w:t>
      </w:r>
      <w:r>
        <w:rPr>
          <w:rFonts w:asciiTheme="minorEastAsia" w:hAnsiTheme="minorEastAsia"/>
          <w:color w:val="000000" w:themeColor="text1"/>
          <w:sz w:val="24"/>
          <w:szCs w:val="24"/>
          <w:highlight w:val="none"/>
          <w14:textFill>
            <w14:solidFill>
              <w14:schemeClr w14:val="tx1"/>
            </w14:solidFill>
          </w14:textFill>
        </w:rPr>
        <w:t>资料。若乙方未及时提供前述资料，甲方</w:t>
      </w:r>
      <w:r>
        <w:rPr>
          <w:rFonts w:hint="eastAsia" w:asciiTheme="minorEastAsia" w:hAnsiTheme="minorEastAsia"/>
          <w:color w:val="000000" w:themeColor="text1"/>
          <w:sz w:val="24"/>
          <w:szCs w:val="24"/>
          <w:highlight w:val="none"/>
          <w14:textFill>
            <w14:solidFill>
              <w14:schemeClr w14:val="tx1"/>
            </w14:solidFill>
          </w14:textFill>
        </w:rPr>
        <w:t>有权</w:t>
      </w:r>
      <w:r>
        <w:rPr>
          <w:rFonts w:asciiTheme="minorEastAsia" w:hAnsiTheme="minorEastAsia"/>
          <w:color w:val="000000" w:themeColor="text1"/>
          <w:sz w:val="24"/>
          <w:szCs w:val="24"/>
          <w:highlight w:val="none"/>
          <w14:textFill>
            <w14:solidFill>
              <w14:schemeClr w14:val="tx1"/>
            </w14:solidFill>
          </w14:textFill>
        </w:rPr>
        <w:t>相应顺延付款时间</w:t>
      </w:r>
      <w:r>
        <w:rPr>
          <w:rFonts w:hint="eastAsia" w:asciiTheme="minorEastAsia" w:hAnsiTheme="minorEastAsia"/>
          <w:color w:val="000000" w:themeColor="text1"/>
          <w:sz w:val="24"/>
          <w:szCs w:val="24"/>
          <w:highlight w:val="none"/>
          <w14:textFill>
            <w14:solidFill>
              <w14:schemeClr w14:val="tx1"/>
            </w14:solidFill>
          </w14:textFill>
        </w:rPr>
        <w:t>且无需承担延迟付款责任</w:t>
      </w:r>
      <w:r>
        <w:rPr>
          <w:rFonts w:asciiTheme="minorEastAsia" w:hAnsiTheme="minorEastAsia"/>
          <w:color w:val="000000" w:themeColor="text1"/>
          <w:sz w:val="24"/>
          <w:szCs w:val="24"/>
          <w:highlight w:val="none"/>
          <w14:textFill>
            <w14:solidFill>
              <w14:schemeClr w14:val="tx1"/>
            </w14:solidFill>
          </w14:textFill>
        </w:rPr>
        <w:t>。</w:t>
      </w:r>
    </w:p>
    <w:p w14:paraId="2AE5EAD8">
      <w:pPr>
        <w:snapToGrid w:val="0"/>
        <w:spacing w:line="36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5</w:t>
      </w:r>
      <w:r>
        <w:rPr>
          <w:rFonts w:asciiTheme="minorEastAsia" w:hAnsiTheme="minorEastAsia"/>
          <w:color w:val="000000" w:themeColor="text1"/>
          <w:sz w:val="24"/>
          <w:szCs w:val="24"/>
          <w:highlight w:val="none"/>
          <w14:textFill>
            <w14:solidFill>
              <w14:schemeClr w14:val="tx1"/>
            </w14:solidFill>
          </w14:textFill>
        </w:rPr>
        <w:t>、按相关安全法规进行安全工作，遵守甲方施工现场管理的有关规定，承担在工作过程中的防火、防盗、防止意外事故发生等安全责任。</w:t>
      </w:r>
      <w:r>
        <w:rPr>
          <w:rFonts w:hint="eastAsia" w:ascii="宋体" w:hAnsi="宋体" w:eastAsia="宋体"/>
          <w:color w:val="000000" w:themeColor="text1"/>
          <w:sz w:val="24"/>
          <w:szCs w:val="24"/>
          <w:highlight w:val="none"/>
          <w:shd w:val="clear" w:color="auto" w:fill="FFFFFF"/>
          <w14:textFill>
            <w14:solidFill>
              <w14:schemeClr w14:val="tx1"/>
            </w14:solidFill>
          </w14:textFill>
        </w:rPr>
        <w:t>若出现安全问题，责任由乙方自行承担，并赔偿给甲方造成的全部损失，包括但不限于甲方为此支出的赔偿款、和解金额、律师费用、诉讼费、仲裁费、保全费、公证费等</w:t>
      </w:r>
      <w:r>
        <w:rPr>
          <w:rFonts w:asciiTheme="minorEastAsia" w:hAnsiTheme="minorEastAsia"/>
          <w:color w:val="000000" w:themeColor="text1"/>
          <w:sz w:val="24"/>
          <w:szCs w:val="24"/>
          <w:highlight w:val="none"/>
          <w14:textFill>
            <w14:solidFill>
              <w14:schemeClr w14:val="tx1"/>
            </w14:solidFill>
          </w14:textFill>
        </w:rPr>
        <w:t>。</w:t>
      </w:r>
    </w:p>
    <w:p w14:paraId="36E7AA5D">
      <w:pPr>
        <w:snapToGrid w:val="0"/>
        <w:spacing w:line="360" w:lineRule="auto"/>
        <w:ind w:left="10" w:leftChars="5"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6</w:t>
      </w:r>
      <w:r>
        <w:rPr>
          <w:rFonts w:asciiTheme="minorEastAsia" w:hAnsiTheme="minorEastAsia"/>
          <w:color w:val="000000" w:themeColor="text1"/>
          <w:sz w:val="24"/>
          <w:szCs w:val="24"/>
          <w:highlight w:val="none"/>
          <w14:textFill>
            <w14:solidFill>
              <w14:schemeClr w14:val="tx1"/>
            </w14:solidFill>
          </w14:textFill>
        </w:rPr>
        <w:t>、乙方如在施工过程中损坏甲方现场的其他工程成品或半成品</w:t>
      </w:r>
      <w:r>
        <w:rPr>
          <w:rFonts w:hint="eastAsia" w:ascii="宋体" w:hAnsi="宋体" w:eastAsia="宋体"/>
          <w:color w:val="000000" w:themeColor="text1"/>
          <w:sz w:val="24"/>
          <w:szCs w:val="24"/>
          <w:highlight w:val="none"/>
          <w:shd w:val="clear" w:color="auto" w:fill="FFFFFF"/>
          <w14:textFill>
            <w14:solidFill>
              <w14:schemeClr w14:val="tx1"/>
            </w14:solidFill>
          </w14:textFill>
        </w:rPr>
        <w:t>及存放物品</w:t>
      </w:r>
      <w:r>
        <w:rPr>
          <w:rFonts w:asciiTheme="minorEastAsia" w:hAnsiTheme="minorEastAsia"/>
          <w:color w:val="000000" w:themeColor="text1"/>
          <w:sz w:val="24"/>
          <w:szCs w:val="24"/>
          <w:highlight w:val="none"/>
          <w14:textFill>
            <w14:solidFill>
              <w14:schemeClr w14:val="tx1"/>
            </w14:solidFill>
          </w14:textFill>
        </w:rPr>
        <w:t>，乙方应</w:t>
      </w:r>
      <w:r>
        <w:rPr>
          <w:rFonts w:hint="eastAsia" w:asciiTheme="minorEastAsia" w:hAnsiTheme="minorEastAsia"/>
          <w:color w:val="000000" w:themeColor="text1"/>
          <w:sz w:val="24"/>
          <w:szCs w:val="24"/>
          <w:highlight w:val="none"/>
          <w14:textFill>
            <w14:solidFill>
              <w14:schemeClr w14:val="tx1"/>
            </w14:solidFill>
          </w14:textFill>
        </w:rPr>
        <w:t>照价</w:t>
      </w:r>
      <w:r>
        <w:rPr>
          <w:rFonts w:asciiTheme="minorEastAsia" w:hAnsiTheme="minorEastAsia"/>
          <w:color w:val="000000" w:themeColor="text1"/>
          <w:sz w:val="24"/>
          <w:szCs w:val="24"/>
          <w:highlight w:val="none"/>
          <w14:textFill>
            <w14:solidFill>
              <w14:schemeClr w14:val="tx1"/>
            </w14:solidFill>
          </w14:textFill>
        </w:rPr>
        <w:t>赔偿给甲方，甲方有权在结算款中扣除。</w:t>
      </w:r>
    </w:p>
    <w:p w14:paraId="1309DDDE">
      <w:pPr>
        <w:snapToGrid w:val="0"/>
        <w:spacing w:line="360" w:lineRule="auto"/>
        <w:ind w:left="10" w:leftChars="5"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7</w:t>
      </w:r>
      <w:r>
        <w:rPr>
          <w:rFonts w:asciiTheme="minorEastAsia" w:hAnsiTheme="minorEastAsia"/>
          <w:color w:val="000000" w:themeColor="text1"/>
          <w:sz w:val="24"/>
          <w:szCs w:val="24"/>
          <w:highlight w:val="none"/>
          <w14:textFill>
            <w14:solidFill>
              <w14:schemeClr w14:val="tx1"/>
            </w14:solidFill>
          </w14:textFill>
        </w:rPr>
        <w:t>、乙方应配合甲方的现场管理，不得以任何理由拒绝本项目范围内甲方的工作安排</w:t>
      </w:r>
      <w:r>
        <w:rPr>
          <w:rFonts w:hint="eastAsia" w:asciiTheme="minorEastAsia" w:hAnsiTheme="minorEastAsia"/>
          <w:color w:val="000000" w:themeColor="text1"/>
          <w:sz w:val="24"/>
          <w:szCs w:val="24"/>
          <w:highlight w:val="none"/>
          <w14:textFill>
            <w14:solidFill>
              <w14:schemeClr w14:val="tx1"/>
            </w14:solidFill>
          </w14:textFill>
        </w:rPr>
        <w:t>。乙方应服从</w:t>
      </w:r>
      <w:r>
        <w:rPr>
          <w:rFonts w:hint="eastAsia" w:asciiTheme="minorEastAsia" w:hAnsiTheme="minorEastAsia"/>
          <w:color w:val="000000" w:themeColor="text1"/>
          <w:sz w:val="24"/>
          <w:szCs w:val="24"/>
          <w:highlight w:val="none"/>
          <w:lang w:val="en-US" w:eastAsia="zh-CN"/>
          <w14:textFill>
            <w14:solidFill>
              <w14:schemeClr w14:val="tx1"/>
            </w14:solidFill>
          </w14:textFill>
        </w:rPr>
        <w:t>中天综合楼</w:t>
      </w:r>
      <w:r>
        <w:rPr>
          <w:rFonts w:hint="eastAsia" w:asciiTheme="minorEastAsia" w:hAnsiTheme="minorEastAsia"/>
          <w:color w:val="000000" w:themeColor="text1"/>
          <w:sz w:val="24"/>
          <w:szCs w:val="24"/>
          <w:highlight w:val="none"/>
          <w14:textFill>
            <w14:solidFill>
              <w14:schemeClr w14:val="tx1"/>
            </w14:solidFill>
          </w14:textFill>
        </w:rPr>
        <w:t>运营统筹安排，不影响大楼正常运营。</w:t>
      </w:r>
    </w:p>
    <w:p w14:paraId="6F3C9DDF">
      <w:pPr>
        <w:snapToGrid w:val="0"/>
        <w:spacing w:line="360" w:lineRule="auto"/>
        <w:ind w:left="10" w:leftChars="5"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8</w:t>
      </w:r>
      <w:r>
        <w:rPr>
          <w:rFonts w:asciiTheme="minorEastAsia" w:hAnsiTheme="minorEastAsia"/>
          <w:color w:val="000000" w:themeColor="text1"/>
          <w:sz w:val="24"/>
          <w:szCs w:val="24"/>
          <w:highlight w:val="none"/>
          <w14:textFill>
            <w14:solidFill>
              <w14:schemeClr w14:val="tx1"/>
            </w14:solidFill>
          </w14:textFill>
        </w:rPr>
        <w:t>、乙方负责竣工图的绘制，图纸一式</w:t>
      </w:r>
      <w:r>
        <w:rPr>
          <w:rFonts w:hint="eastAsia" w:asciiTheme="minorEastAsia" w:hAnsiTheme="minorEastAsia"/>
          <w:color w:val="000000" w:themeColor="text1"/>
          <w:sz w:val="24"/>
          <w:szCs w:val="24"/>
          <w:highlight w:val="none"/>
          <w14:textFill>
            <w14:solidFill>
              <w14:schemeClr w14:val="tx1"/>
            </w14:solidFill>
          </w14:textFill>
        </w:rPr>
        <w:t>八</w:t>
      </w:r>
      <w:r>
        <w:rPr>
          <w:rFonts w:asciiTheme="minorEastAsia" w:hAnsiTheme="minorEastAsia"/>
          <w:color w:val="000000" w:themeColor="text1"/>
          <w:sz w:val="24"/>
          <w:szCs w:val="24"/>
          <w:highlight w:val="none"/>
          <w14:textFill>
            <w14:solidFill>
              <w14:schemeClr w14:val="tx1"/>
            </w14:solidFill>
          </w14:textFill>
        </w:rPr>
        <w:t>份，所需费用已综合包含在合同价总价内，结算不做调整。</w:t>
      </w:r>
    </w:p>
    <w:p w14:paraId="14439213">
      <w:pPr>
        <w:snapToGrid w:val="0"/>
        <w:spacing w:line="360" w:lineRule="auto"/>
        <w:ind w:left="10" w:leftChars="5" w:firstLine="480" w:firstLineChars="200"/>
        <w:rPr>
          <w:rFonts w:hint="eastAsia" w:ascii="宋体" w:hAnsi="宋体" w:eastAsia="宋体"/>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9</w:t>
      </w:r>
      <w:r>
        <w:rPr>
          <w:rFonts w:asciiTheme="minorEastAsia" w:hAnsiTheme="minorEastAsia"/>
          <w:color w:val="000000" w:themeColor="text1"/>
          <w:sz w:val="24"/>
          <w:szCs w:val="24"/>
          <w:highlight w:val="none"/>
          <w14:textFill>
            <w14:solidFill>
              <w14:schemeClr w14:val="tx1"/>
            </w14:solidFill>
          </w14:textFill>
        </w:rPr>
        <w:t>、乙方须负责本项目相关的</w:t>
      </w:r>
      <w:r>
        <w:rPr>
          <w:rFonts w:hint="eastAsia" w:asciiTheme="minorEastAsia" w:hAnsiTheme="minorEastAsia"/>
          <w:color w:val="000000" w:themeColor="text1"/>
          <w:sz w:val="24"/>
          <w:szCs w:val="24"/>
          <w:highlight w:val="none"/>
          <w14:textFill>
            <w14:solidFill>
              <w14:schemeClr w14:val="tx1"/>
            </w14:solidFill>
          </w14:textFill>
        </w:rPr>
        <w:t>报批、报建所有手续</w:t>
      </w:r>
      <w:r>
        <w:rPr>
          <w:rFonts w:asciiTheme="minorEastAsia" w:hAnsiTheme="minorEastAsia"/>
          <w:color w:val="000000" w:themeColor="text1"/>
          <w:sz w:val="24"/>
          <w:szCs w:val="24"/>
          <w:highlight w:val="none"/>
          <w14:textFill>
            <w14:solidFill>
              <w14:schemeClr w14:val="tx1"/>
            </w14:solidFill>
          </w14:textFill>
        </w:rPr>
        <w:t>，所发生的费用综合包含在合同价总价内</w:t>
      </w:r>
      <w:r>
        <w:rPr>
          <w:rFonts w:hint="eastAsia" w:ascii="宋体" w:hAnsi="宋体" w:eastAsia="宋体"/>
          <w:color w:val="000000" w:themeColor="text1"/>
          <w:sz w:val="24"/>
          <w:szCs w:val="24"/>
          <w:highlight w:val="none"/>
          <w:shd w:val="clear" w:color="auto" w:fill="FFFFFF"/>
          <w14:textFill>
            <w14:solidFill>
              <w14:schemeClr w14:val="tx1"/>
            </w14:solidFill>
          </w14:textFill>
        </w:rPr>
        <w:t>，结算不做调整。</w:t>
      </w:r>
    </w:p>
    <w:p w14:paraId="26634AF1">
      <w:pPr>
        <w:snapToGrid w:val="0"/>
        <w:spacing w:line="360" w:lineRule="auto"/>
        <w:ind w:left="10" w:leftChars="5"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shd w:val="clear" w:color="auto" w:fill="FFFFFF"/>
          <w14:textFill>
            <w14:solidFill>
              <w14:schemeClr w14:val="tx1"/>
            </w14:solidFill>
          </w14:textFill>
        </w:rPr>
        <w:t>10、乙方应按政策规定购买“建筑安全一切险”（含第三者责任险）</w:t>
      </w:r>
      <w:r>
        <w:rPr>
          <w:rFonts w:hint="eastAsia" w:ascii="宋体" w:hAnsi="宋体" w:eastAsia="宋体"/>
          <w:color w:val="000000" w:themeColor="text1"/>
          <w:sz w:val="24"/>
          <w:szCs w:val="24"/>
          <w:highlight w:val="none"/>
          <w:shd w:val="clear" w:color="auto" w:fill="FFFFFF"/>
          <w:lang w:val="en-US" w:eastAsia="zh-CN"/>
          <w14:textFill>
            <w14:solidFill>
              <w14:schemeClr w14:val="tx1"/>
            </w14:solidFill>
          </w14:textFill>
        </w:rPr>
        <w:t>及“小散工程安全生产责任险”</w:t>
      </w:r>
      <w:r>
        <w:rPr>
          <w:rFonts w:hint="eastAsia" w:ascii="宋体" w:hAnsi="宋体" w:eastAsia="宋体"/>
          <w:color w:val="000000" w:themeColor="text1"/>
          <w:sz w:val="24"/>
          <w:szCs w:val="24"/>
          <w:highlight w:val="none"/>
          <w:shd w:val="clear" w:color="auto" w:fill="FFFFFF"/>
          <w14:textFill>
            <w14:solidFill>
              <w14:schemeClr w14:val="tx1"/>
            </w14:solidFill>
          </w14:textFill>
        </w:rPr>
        <w:t>，乙方并向甲方提交购买保险的发票和保单复印件并对该复印件的真实性、合法性负责，费用实报实销，与工程结算款一并支付。乙方必须承担在本工程施工期间发生的或本工程引致的人身伤亡及/或财产损害的包括但不限于费用、责任、损失、赔偿等一切法律责任，并须保障甲方免于承担该等责任。因乙方原因导致因侵犯第三方的合法权益而引起的任何针对甲方的索赔，乙方应负责应诉、并为甲方抗辩，或在甲方的要求下合作抗辩，保障甲方的利益不受损害，为甲方消除名誉方面的不良影响，并赔偿甲方因此而支出的费用，包括但不限于甲方为此支出的赔偿款、和解金额、律师费用、诉讼费、仲裁费、保全费、公证费等</w:t>
      </w:r>
      <w:r>
        <w:rPr>
          <w:rFonts w:asciiTheme="minorEastAsia" w:hAnsiTheme="minorEastAsia"/>
          <w:color w:val="000000" w:themeColor="text1"/>
          <w:sz w:val="24"/>
          <w:szCs w:val="24"/>
          <w:highlight w:val="none"/>
          <w14:textFill>
            <w14:solidFill>
              <w14:schemeClr w14:val="tx1"/>
            </w14:solidFill>
          </w14:textFill>
        </w:rPr>
        <w:t>。</w:t>
      </w:r>
    </w:p>
    <w:p w14:paraId="2E0BEBB9">
      <w:pPr>
        <w:snapToGrid w:val="0"/>
        <w:spacing w:line="360" w:lineRule="auto"/>
        <w:ind w:left="10" w:leftChars="5"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11、乙方应当在项目开工前，向本工程所在地的社会保险经办机构办理建设项目工伤保险参保缴费手续。工人工伤保险</w:t>
      </w:r>
      <w:r>
        <w:rPr>
          <w:rFonts w:hint="eastAsia" w:asciiTheme="minorEastAsia" w:hAnsiTheme="minorEastAsia"/>
          <w:color w:val="000000" w:themeColor="text1"/>
          <w:sz w:val="24"/>
          <w:szCs w:val="24"/>
          <w:highlight w:val="none"/>
          <w:lang w:val="en-US" w:eastAsia="zh-CN"/>
          <w14:textFill>
            <w14:solidFill>
              <w14:schemeClr w14:val="tx1"/>
            </w14:solidFill>
          </w14:textFill>
        </w:rPr>
        <w:t>及其他</w:t>
      </w:r>
      <w:r>
        <w:rPr>
          <w:rFonts w:hint="eastAsia" w:asciiTheme="minorEastAsia" w:hAnsiTheme="minorEastAsia"/>
          <w:color w:val="000000" w:themeColor="text1"/>
          <w:sz w:val="24"/>
          <w:szCs w:val="24"/>
          <w:highlight w:val="none"/>
          <w14:textFill>
            <w14:solidFill>
              <w14:schemeClr w14:val="tx1"/>
            </w14:solidFill>
          </w14:textFill>
        </w:rPr>
        <w:t>所发生的费用综合包含在合同价总价内，结算不另外支付。</w:t>
      </w:r>
    </w:p>
    <w:p w14:paraId="68D4020B">
      <w:pPr>
        <w:snapToGrid w:val="0"/>
        <w:spacing w:line="360" w:lineRule="auto"/>
        <w:ind w:left="10" w:leftChars="5" w:firstLine="480" w:firstLineChars="200"/>
        <w:rPr>
          <w:rFonts w:hint="eastAsia" w:eastAsia="宋体"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12、因本</w:t>
      </w:r>
      <w:r>
        <w:rPr>
          <w:rFonts w:hint="eastAsia" w:ascii="宋体" w:hAnsi="宋体" w:eastAsia="宋体"/>
          <w:color w:val="000000" w:themeColor="text1"/>
          <w:sz w:val="24"/>
          <w:szCs w:val="24"/>
          <w:highlight w:val="none"/>
          <w:shd w:val="clear" w:color="auto" w:fill="FFFFFF"/>
          <w14:textFill>
            <w14:solidFill>
              <w14:schemeClr w14:val="tx1"/>
            </w14:solidFill>
          </w14:textFill>
        </w:rPr>
        <w:t>工程处于成熟工业区内，场地受限，乙方需自行解决材料堆放场地及物品存放场所，并无条件配合材料转运。</w:t>
      </w:r>
    </w:p>
    <w:p w14:paraId="32A52B87">
      <w:pPr>
        <w:snapToGrid w:val="0"/>
        <w:spacing w:line="360" w:lineRule="auto"/>
        <w:ind w:left="10" w:leftChars="5"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13、本工程已聘请物业，乙方须配合物业管理，自行承担物业押金、物业管理费等物业管理处收取的费用。</w:t>
      </w:r>
    </w:p>
    <w:p w14:paraId="718B7EF8">
      <w:pPr>
        <w:snapToGrid w:val="0"/>
        <w:spacing w:line="360" w:lineRule="auto"/>
        <w:ind w:left="10" w:leftChars="5"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14、乙方须接受甲方安全检查，若乙方施工期间安全管理不到位，出现安全隐患，甲方委派的现场代表或甲方安全管理部门（含甲方上级公司安全管理部门）有权对乙方进行2000-10000元/次的处罚。</w:t>
      </w:r>
    </w:p>
    <w:p w14:paraId="27970E15">
      <w:pPr>
        <w:snapToGrid w:val="0"/>
        <w:spacing w:line="360" w:lineRule="auto"/>
        <w:ind w:firstLine="480"/>
        <w:rPr>
          <w:rFonts w:hint="eastAsia" w:asciiTheme="minorEastAsia" w:hAnsiTheme="minorEastAsia"/>
          <w:b/>
          <w:bCs/>
          <w:color w:val="000000" w:themeColor="text1"/>
          <w:spacing w:val="8"/>
          <w:sz w:val="24"/>
          <w:szCs w:val="24"/>
          <w:highlight w:val="none"/>
          <w14:textFill>
            <w14:solidFill>
              <w14:schemeClr w14:val="tx1"/>
            </w14:solidFill>
          </w14:textFill>
        </w:rPr>
      </w:pPr>
      <w:r>
        <w:rPr>
          <w:rFonts w:asciiTheme="minorEastAsia" w:hAnsiTheme="minorEastAsia"/>
          <w:b/>
          <w:bCs/>
          <w:color w:val="000000" w:themeColor="text1"/>
          <w:spacing w:val="8"/>
          <w:sz w:val="24"/>
          <w:szCs w:val="24"/>
          <w:highlight w:val="none"/>
          <w14:textFill>
            <w14:solidFill>
              <w14:schemeClr w14:val="tx1"/>
            </w14:solidFill>
          </w14:textFill>
        </w:rPr>
        <w:t>第六条 违约责任</w:t>
      </w:r>
    </w:p>
    <w:p w14:paraId="594C7B33">
      <w:pPr>
        <w:pStyle w:val="66"/>
        <w:numPr>
          <w:ilvl w:val="0"/>
          <w:numId w:val="18"/>
        </w:numPr>
        <w:spacing w:line="360" w:lineRule="auto"/>
        <w:ind w:left="0" w:firstLine="426"/>
        <w:jc w:val="left"/>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甲方未能按本合同约定提供施工场地及工作面，工期相应顺延，甲方无需承担其他赔偿责任。</w:t>
      </w:r>
    </w:p>
    <w:p w14:paraId="5647D0AB">
      <w:pPr>
        <w:pStyle w:val="66"/>
        <w:numPr>
          <w:ilvl w:val="0"/>
          <w:numId w:val="18"/>
        </w:numPr>
        <w:spacing w:line="360" w:lineRule="auto"/>
        <w:ind w:left="0" w:firstLine="426"/>
        <w:jc w:val="left"/>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乙方未能按合同约定时间通过竣工验收(经甲方批准的工期延期除外)，乙方应承担违约责任。每逾期一日，按</w:t>
      </w:r>
      <w:r>
        <w:rPr>
          <w:rFonts w:hint="eastAsia" w:asciiTheme="minorEastAsia" w:hAnsiTheme="minorEastAsia" w:eastAsiaTheme="minorEastAsia"/>
          <w:color w:val="000000" w:themeColor="text1"/>
          <w:szCs w:val="24"/>
          <w:highlight w:val="none"/>
          <w:lang w:val="en-US" w:eastAsia="zh-CN"/>
          <w14:textFill>
            <w14:solidFill>
              <w14:schemeClr w14:val="tx1"/>
            </w14:solidFill>
          </w14:textFill>
        </w:rPr>
        <w:t>签约合同价的万分之五的标准</w:t>
      </w:r>
      <w:r>
        <w:rPr>
          <w:rFonts w:hint="eastAsia" w:asciiTheme="minorEastAsia" w:hAnsiTheme="minorEastAsia" w:eastAsiaTheme="minorEastAsia"/>
          <w:color w:val="000000" w:themeColor="text1"/>
          <w:szCs w:val="24"/>
          <w:highlight w:val="none"/>
          <w14:textFill>
            <w14:solidFill>
              <w14:schemeClr w14:val="tx1"/>
            </w14:solidFill>
          </w14:textFill>
        </w:rPr>
        <w:t>向甲方支付工期违约金。逾期超过5天的，甲方有权解除合同，乙方除按天支付合同解除之日前的违约金外，还应按照签约合同价的30%向甲方支付违约金(因甲方原因工期延误且经甲方批准的除外)。</w:t>
      </w:r>
    </w:p>
    <w:p w14:paraId="2F65B9F1">
      <w:pPr>
        <w:pStyle w:val="66"/>
        <w:numPr>
          <w:ilvl w:val="0"/>
          <w:numId w:val="18"/>
        </w:numPr>
        <w:spacing w:line="360" w:lineRule="auto"/>
        <w:ind w:left="0" w:firstLine="426"/>
        <w:jc w:val="left"/>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如因乙方提交的成果报告造成甲方工程质量问题的，视为乙方违约。甲方有权解除合同，乙方应返还甲方已支付的与存在质量问题工程对应的费用，并按照签约合同价的30%向甲方支付违约金。</w:t>
      </w:r>
    </w:p>
    <w:p w14:paraId="096DE7F4">
      <w:pPr>
        <w:pStyle w:val="66"/>
        <w:numPr>
          <w:ilvl w:val="0"/>
          <w:numId w:val="18"/>
        </w:numPr>
        <w:spacing w:line="360" w:lineRule="auto"/>
        <w:ind w:left="0" w:firstLine="426"/>
        <w:jc w:val="left"/>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乙方应向甲方支付的违约金不足以弥补甲方损失的，甲方可继续要求乙方赔偿损失。甲方有权直接在应付而未付款中扣除应支付的违约金及赔偿金。</w:t>
      </w:r>
    </w:p>
    <w:p w14:paraId="52460C52">
      <w:pPr>
        <w:pStyle w:val="66"/>
        <w:numPr>
          <w:ilvl w:val="0"/>
          <w:numId w:val="18"/>
        </w:numPr>
        <w:spacing w:line="360" w:lineRule="auto"/>
        <w:ind w:left="0" w:firstLine="426"/>
        <w:jc w:val="left"/>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除本合同和法律法规另有规定外，任何一方均无权提前解除合同，否则视为违约，守约方有权选择解除合同或要求违约方继续履行合同。如守约方选择解除合同，则违约方应向对方支付签约合同价30%的违约金，如违约金不足以偿付对方损失，违约方还应赔偿因其违约给对方造成的损失。</w:t>
      </w:r>
    </w:p>
    <w:p w14:paraId="4CEB2DE6">
      <w:pPr>
        <w:pStyle w:val="66"/>
        <w:numPr>
          <w:ilvl w:val="0"/>
          <w:numId w:val="18"/>
        </w:numPr>
        <w:spacing w:line="360" w:lineRule="auto"/>
        <w:ind w:left="0" w:firstLine="426"/>
        <w:jc w:val="left"/>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乙方应保证所采用的材料满足环保、防火、无辐射、对人体无害等基本要求，后期甲方有权进行抽检，产品不合格的，乙方需承担检测相关费用并完成整改；再次检测仍不合格的，乙方有义务整改直至合格，同时，甲方有权解除本合同，乙方应返还甲方已支付的全部费用并按照签约合同价30%的标准向甲方支付违约金，如违约金不足以偿付甲方损失，乙方还应赔偿给甲方造成的全部损失。</w:t>
      </w:r>
    </w:p>
    <w:p w14:paraId="03BE846C">
      <w:pPr>
        <w:pStyle w:val="66"/>
        <w:numPr>
          <w:ilvl w:val="0"/>
          <w:numId w:val="18"/>
        </w:numPr>
        <w:spacing w:line="360" w:lineRule="auto"/>
        <w:ind w:left="0" w:firstLine="426"/>
        <w:jc w:val="left"/>
        <w:rPr>
          <w:rFonts w:hint="eastAsia"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如任何一方违约，守约方为维护权益向违约方追偿所发生的一切费用（包括但不限于律师费、诉讼费、保全费、担保费、交通费、差旅费、鉴定费等）均由违约方承担。律师费收费依据起诉时广东省律师服务政府指导价的规定，按争议标的额的比例计算。</w:t>
      </w:r>
    </w:p>
    <w:p w14:paraId="6C8AC904">
      <w:pPr>
        <w:snapToGrid w:val="0"/>
        <w:spacing w:line="360" w:lineRule="auto"/>
        <w:ind w:firstLine="480"/>
        <w:rPr>
          <w:rFonts w:hint="eastAsia" w:asciiTheme="minorEastAsia" w:hAnsiTheme="minorEastAsia"/>
          <w:b/>
          <w:bCs/>
          <w:color w:val="000000" w:themeColor="text1"/>
          <w:spacing w:val="8"/>
          <w:sz w:val="24"/>
          <w:szCs w:val="24"/>
          <w:highlight w:val="none"/>
          <w14:textFill>
            <w14:solidFill>
              <w14:schemeClr w14:val="tx1"/>
            </w14:solidFill>
          </w14:textFill>
        </w:rPr>
      </w:pPr>
      <w:r>
        <w:rPr>
          <w:rFonts w:asciiTheme="minorEastAsia" w:hAnsiTheme="minorEastAsia"/>
          <w:b/>
          <w:bCs/>
          <w:color w:val="000000" w:themeColor="text1"/>
          <w:spacing w:val="8"/>
          <w:sz w:val="24"/>
          <w:szCs w:val="24"/>
          <w:highlight w:val="none"/>
          <w14:textFill>
            <w14:solidFill>
              <w14:schemeClr w14:val="tx1"/>
            </w14:solidFill>
          </w14:textFill>
        </w:rPr>
        <w:t>第七条 措施项目清单（包括但不限于下列项目）的说明</w:t>
      </w:r>
    </w:p>
    <w:p w14:paraId="61CE7A79">
      <w:pPr>
        <w:snapToGrid w:val="0"/>
        <w:spacing w:after="200" w:line="300" w:lineRule="auto"/>
        <w:ind w:firstLine="482"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b/>
          <w:bCs/>
          <w:color w:val="000000" w:themeColor="text1"/>
          <w:sz w:val="24"/>
          <w:szCs w:val="24"/>
          <w:highlight w:val="none"/>
          <w14:textFill>
            <w14:solidFill>
              <w14:schemeClr w14:val="tx1"/>
            </w14:solidFill>
          </w14:textFill>
        </w:rPr>
        <w:t>本项目措施费用包干。</w:t>
      </w:r>
    </w:p>
    <w:p w14:paraId="3016B1CF">
      <w:pPr>
        <w:snapToGrid w:val="0"/>
        <w:spacing w:after="200" w:line="300" w:lineRule="auto"/>
        <w:ind w:firstLine="482"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一</w:t>
      </w:r>
      <w:r>
        <w:rPr>
          <w:rFonts w:hint="eastAsia" w:asciiTheme="minorEastAsia" w:hAnsiTheme="minorEastAsia"/>
          <w:b/>
          <w:bCs/>
          <w:color w:val="000000" w:themeColor="text1"/>
          <w:sz w:val="24"/>
          <w:szCs w:val="24"/>
          <w:highlight w:val="none"/>
          <w:lang w:eastAsia="zh-CN"/>
          <w14:textFill>
            <w14:solidFill>
              <w14:schemeClr w14:val="tx1"/>
            </w14:solidFill>
          </w14:textFill>
        </w:rPr>
        <w:t>）</w:t>
      </w:r>
      <w:r>
        <w:rPr>
          <w:rFonts w:asciiTheme="minorEastAsia" w:hAnsiTheme="minorEastAsia"/>
          <w:b/>
          <w:bCs/>
          <w:color w:val="000000" w:themeColor="text1"/>
          <w:sz w:val="24"/>
          <w:szCs w:val="24"/>
          <w:highlight w:val="none"/>
          <w14:textFill>
            <w14:solidFill>
              <w14:schemeClr w14:val="tx1"/>
            </w14:solidFill>
          </w14:textFill>
        </w:rPr>
        <w:t>安全文明施工措施费</w:t>
      </w:r>
    </w:p>
    <w:p w14:paraId="616DA3F6">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安全文明施工措施费按照《深圳市建设工程计价规程（2017）》，内容包括施工企业临时设施、所有涉及工程安全和文明施工的费用等。</w:t>
      </w:r>
    </w:p>
    <w:p w14:paraId="39D7AA59">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w:t>
      </w:r>
      <w:r>
        <w:rPr>
          <w:rFonts w:asciiTheme="minorEastAsia" w:hAnsiTheme="minorEastAsia"/>
          <w:b/>
          <w:bCs/>
          <w:color w:val="000000" w:themeColor="text1"/>
          <w:sz w:val="24"/>
          <w:szCs w:val="24"/>
          <w:highlight w:val="none"/>
          <w14:textFill>
            <w14:solidFill>
              <w14:schemeClr w14:val="tx1"/>
            </w14:solidFill>
          </w14:textFill>
        </w:rPr>
        <w:t>临时设施费</w:t>
      </w:r>
      <w:r>
        <w:rPr>
          <w:rFonts w:asciiTheme="minorEastAsia" w:hAnsiTheme="minorEastAsia"/>
          <w:color w:val="000000" w:themeColor="text1"/>
          <w:sz w:val="24"/>
          <w:szCs w:val="24"/>
          <w:highlight w:val="none"/>
          <w14:textFill>
            <w14:solidFill>
              <w14:schemeClr w14:val="tx1"/>
            </w14:solidFill>
          </w14:textFill>
        </w:rPr>
        <w:t>：是指施工企业为进行建筑安装工程施工所必需的生活和生产用的临时建筑物、构筑物和其它临时设施的搭设、维修、拆除费用或摊销费用，包括临时宿舍、文化福利及公用事业房屋与构筑物，仓库、办公室、加工厂以及规定范围内道路、水、电、管线等临时设施和小型临时设施。</w:t>
      </w:r>
    </w:p>
    <w:p w14:paraId="49497EE1">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（2）</w:t>
      </w:r>
      <w:r>
        <w:rPr>
          <w:rFonts w:asciiTheme="minorEastAsia" w:hAnsiTheme="minorEastAsia"/>
          <w:b/>
          <w:bCs/>
          <w:color w:val="000000" w:themeColor="text1"/>
          <w:sz w:val="24"/>
          <w:szCs w:val="24"/>
          <w:highlight w:val="none"/>
          <w14:textFill>
            <w14:solidFill>
              <w14:schemeClr w14:val="tx1"/>
            </w14:solidFill>
          </w14:textFill>
        </w:rPr>
        <w:t>安全施工费</w:t>
      </w:r>
      <w:r>
        <w:rPr>
          <w:rFonts w:asciiTheme="minorEastAsia" w:hAnsiTheme="minorEastAsia"/>
          <w:color w:val="000000" w:themeColor="text1"/>
          <w:sz w:val="24"/>
          <w:szCs w:val="24"/>
          <w:highlight w:val="none"/>
          <w14:textFill>
            <w14:solidFill>
              <w14:schemeClr w14:val="tx1"/>
            </w14:solidFill>
          </w14:textFill>
        </w:rPr>
        <w:t>：是依照国家有关安全生产法律法规，为保证工程建设项目所涉及人员安全而采取的必要的安全防护措施所需的费用。</w:t>
      </w:r>
    </w:p>
    <w:p w14:paraId="408663B5">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（3）</w:t>
      </w:r>
      <w:r>
        <w:rPr>
          <w:rFonts w:asciiTheme="minorEastAsia" w:hAnsiTheme="minorEastAsia"/>
          <w:b/>
          <w:bCs/>
          <w:color w:val="000000" w:themeColor="text1"/>
          <w:sz w:val="24"/>
          <w:szCs w:val="24"/>
          <w:highlight w:val="none"/>
          <w14:textFill>
            <w14:solidFill>
              <w14:schemeClr w14:val="tx1"/>
            </w14:solidFill>
          </w14:textFill>
        </w:rPr>
        <w:t>文明施工费</w:t>
      </w:r>
      <w:r>
        <w:rPr>
          <w:rFonts w:asciiTheme="minorEastAsia" w:hAnsiTheme="minorEastAsia"/>
          <w:color w:val="000000" w:themeColor="text1"/>
          <w:sz w:val="24"/>
          <w:szCs w:val="24"/>
          <w:highlight w:val="none"/>
          <w14:textFill>
            <w14:solidFill>
              <w14:schemeClr w14:val="tx1"/>
            </w14:solidFill>
          </w14:textFill>
        </w:rPr>
        <w:t>：是依照我市有关文明施工法律法规，为满足建筑施工现场文明施工及环境保护措施所需的费用。</w:t>
      </w:r>
    </w:p>
    <w:p w14:paraId="2D3B4FD2">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（4）</w:t>
      </w:r>
      <w:r>
        <w:rPr>
          <w:rFonts w:asciiTheme="minorEastAsia" w:hAnsiTheme="minorEastAsia"/>
          <w:b/>
          <w:bCs/>
          <w:color w:val="000000" w:themeColor="text1"/>
          <w:sz w:val="24"/>
          <w:szCs w:val="24"/>
          <w:highlight w:val="none"/>
          <w14:textFill>
            <w14:solidFill>
              <w14:schemeClr w14:val="tx1"/>
            </w14:solidFill>
          </w14:textFill>
        </w:rPr>
        <w:t>环境保护费</w:t>
      </w:r>
      <w:r>
        <w:rPr>
          <w:rFonts w:asciiTheme="minorEastAsia" w:hAnsiTheme="minorEastAsia"/>
          <w:color w:val="000000" w:themeColor="text1"/>
          <w:sz w:val="24"/>
          <w:szCs w:val="24"/>
          <w:highlight w:val="none"/>
          <w14:textFill>
            <w14:solidFill>
              <w14:schemeClr w14:val="tx1"/>
            </w14:solidFill>
          </w14:textFill>
        </w:rPr>
        <w:t>：是指按照建设行政主管部门和环保部门的有关规定要求采取的施工场地周边的环境保护措施所需的各项费用。</w:t>
      </w:r>
    </w:p>
    <w:p w14:paraId="29D3F4B0">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安全文明施工措施费用的内容遵照《深圳市建设工程计价规程（2017）》及相关管理办法的规定。</w:t>
      </w:r>
    </w:p>
    <w:p w14:paraId="7A9D2263">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若乙方的安全文明施工未能满足行业主管部门的相关规定被投诉或被行政主管部门通报的，对乙方进行2000元/次的处罚。</w:t>
      </w:r>
      <w:r>
        <w:rPr>
          <w:rFonts w:hint="eastAsia" w:ascii="宋体" w:hAnsi="宋体" w:eastAsia="宋体"/>
          <w:color w:val="000000" w:themeColor="text1"/>
          <w:sz w:val="24"/>
          <w:szCs w:val="24"/>
          <w:highlight w:val="none"/>
          <w14:textFill>
            <w14:solidFill>
              <w14:schemeClr w14:val="tx1"/>
            </w14:solidFill>
          </w14:textFill>
        </w:rPr>
        <w:t>若</w:t>
      </w:r>
      <w:r>
        <w:rPr>
          <w:rFonts w:ascii="宋体" w:hAnsi="宋体" w:eastAsia="宋体"/>
          <w:color w:val="000000" w:themeColor="text1"/>
          <w:sz w:val="24"/>
          <w:szCs w:val="24"/>
          <w:highlight w:val="none"/>
          <w14:textFill>
            <w14:solidFill>
              <w14:schemeClr w14:val="tx1"/>
            </w14:solidFill>
          </w14:textFill>
        </w:rPr>
        <w:t>乙方的安全文明施工未能满足行业主管部门的相关规定</w:t>
      </w:r>
      <w:r>
        <w:rPr>
          <w:rFonts w:hint="eastAsia" w:ascii="宋体" w:hAnsi="宋体" w:eastAsia="宋体"/>
          <w:color w:val="000000" w:themeColor="text1"/>
          <w:sz w:val="24"/>
          <w:szCs w:val="24"/>
          <w:highlight w:val="none"/>
          <w:lang w:val="en-US" w:eastAsia="zh-CN"/>
          <w14:textFill>
            <w14:solidFill>
              <w14:schemeClr w14:val="tx1"/>
            </w14:solidFill>
          </w14:textFill>
        </w:rPr>
        <w:t>导致甲方</w:t>
      </w:r>
      <w:r>
        <w:rPr>
          <w:rFonts w:hint="eastAsia" w:ascii="宋体" w:hAnsi="宋体" w:eastAsia="宋体"/>
          <w:color w:val="000000" w:themeColor="text1"/>
          <w:sz w:val="24"/>
          <w:szCs w:val="24"/>
          <w:highlight w:val="none"/>
          <w14:textFill>
            <w14:solidFill>
              <w14:schemeClr w14:val="tx1"/>
            </w14:solidFill>
          </w14:textFill>
        </w:rPr>
        <w:t>被行政主管部门</w:t>
      </w:r>
      <w:r>
        <w:rPr>
          <w:rFonts w:hint="eastAsia" w:ascii="宋体" w:hAnsi="宋体" w:eastAsia="宋体"/>
          <w:color w:val="000000" w:themeColor="text1"/>
          <w:sz w:val="24"/>
          <w:szCs w:val="24"/>
          <w:highlight w:val="none"/>
          <w:lang w:val="en-US" w:eastAsia="zh-CN"/>
          <w14:textFill>
            <w14:solidFill>
              <w14:schemeClr w14:val="tx1"/>
            </w14:solidFill>
          </w14:textFill>
        </w:rPr>
        <w:t>行政</w:t>
      </w:r>
      <w:r>
        <w:rPr>
          <w:rFonts w:hint="eastAsia" w:asciiTheme="minorEastAsia" w:hAnsiTheme="minorEastAsia"/>
          <w:color w:val="000000" w:themeColor="text1"/>
          <w:sz w:val="24"/>
          <w:szCs w:val="24"/>
          <w:highlight w:val="none"/>
          <w:lang w:val="en-US" w:eastAsia="zh-CN"/>
          <w14:textFill>
            <w14:solidFill>
              <w14:schemeClr w14:val="tx1"/>
            </w14:solidFill>
          </w14:textFill>
        </w:rPr>
        <w:t>处罚的</w:t>
      </w:r>
      <w:r>
        <w:rPr>
          <w:rFonts w:hint="eastAsia" w:asciiTheme="minorEastAsia" w:hAnsiTheme="minorEastAsia"/>
          <w:color w:val="000000" w:themeColor="text1"/>
          <w:sz w:val="24"/>
          <w:szCs w:val="24"/>
          <w:highlight w:val="none"/>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由此产生的一切损失</w:t>
      </w:r>
      <w:r>
        <w:rPr>
          <w:rFonts w:hint="eastAsia" w:asciiTheme="minorEastAsia" w:hAnsiTheme="minorEastAsia"/>
          <w:color w:val="000000" w:themeColor="text1"/>
          <w:sz w:val="24"/>
          <w:szCs w:val="24"/>
          <w:highlight w:val="none"/>
          <w14:textFill>
            <w14:solidFill>
              <w14:schemeClr w14:val="tx1"/>
            </w14:solidFill>
          </w14:textFill>
        </w:rPr>
        <w:t>由乙方承担。</w:t>
      </w:r>
    </w:p>
    <w:p w14:paraId="0B20BCA5">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b w:val="0"/>
          <w:bCs w:val="0"/>
          <w:color w:val="000000" w:themeColor="text1"/>
          <w:sz w:val="24"/>
          <w:szCs w:val="24"/>
          <w:highlight w:val="none"/>
          <w14:textFill>
            <w14:solidFill>
              <w14:schemeClr w14:val="tx1"/>
            </w14:solidFill>
          </w14:textFill>
        </w:rPr>
        <w:t>安全文明施工费为包干费用</w:t>
      </w:r>
      <w:r>
        <w:rPr>
          <w:rFonts w:asciiTheme="minorEastAsia" w:hAnsiTheme="minorEastAsia"/>
          <w:color w:val="000000" w:themeColor="text1"/>
          <w:sz w:val="24"/>
          <w:szCs w:val="24"/>
          <w:highlight w:val="none"/>
          <w14:textFill>
            <w14:solidFill>
              <w14:schemeClr w14:val="tx1"/>
            </w14:solidFill>
          </w14:textFill>
        </w:rPr>
        <w:t>，除双方另行协商且签订补充协议外，结算时不作调整。</w:t>
      </w:r>
    </w:p>
    <w:p w14:paraId="4656FA1F">
      <w:pPr>
        <w:snapToGrid w:val="0"/>
        <w:spacing w:after="200" w:line="300" w:lineRule="auto"/>
        <w:ind w:firstLine="482" w:firstLineChars="200"/>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Theme="minorEastAsia" w:hAnsi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二</w:t>
      </w:r>
      <w:r>
        <w:rPr>
          <w:rFonts w:hint="eastAsia" w:asciiTheme="minorEastAsia" w:hAnsiTheme="minorEastAsia"/>
          <w:b/>
          <w:bCs/>
          <w:color w:val="000000" w:themeColor="text1"/>
          <w:sz w:val="24"/>
          <w:szCs w:val="24"/>
          <w:highlight w:val="none"/>
          <w:lang w:eastAsia="zh-CN"/>
          <w14:textFill>
            <w14:solidFill>
              <w14:schemeClr w14:val="tx1"/>
            </w14:solidFill>
          </w14:textFill>
        </w:rPr>
        <w:t>）</w:t>
      </w:r>
      <w:r>
        <w:rPr>
          <w:rFonts w:asciiTheme="minorEastAsia" w:hAnsiTheme="minorEastAsia"/>
          <w:b/>
          <w:bCs/>
          <w:color w:val="000000" w:themeColor="text1"/>
          <w:sz w:val="24"/>
          <w:szCs w:val="24"/>
          <w:highlight w:val="none"/>
          <w14:textFill>
            <w14:solidFill>
              <w14:schemeClr w14:val="tx1"/>
            </w14:solidFill>
          </w14:textFill>
        </w:rPr>
        <w:t>临时用水、用电</w:t>
      </w:r>
    </w:p>
    <w:p w14:paraId="75D9750E">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本工程临时用水、用电由乙方根据工程实际情况自行解决，并承担一切相关费用，包括初装手续的办理、接口、安装、恢复以及使用期间的水、电费缴纳等，施工期间，乙方还应做好临时管线维护工作，保证施工及生活用水、用电及时供给。以上所有费用以总额形式计入措施项目清单“临时用水、用电”中包干使用。</w:t>
      </w:r>
    </w:p>
    <w:p w14:paraId="716162CC">
      <w:pPr>
        <w:snapToGrid w:val="0"/>
        <w:spacing w:after="200" w:line="300" w:lineRule="auto"/>
        <w:ind w:firstLine="480" w:firstLineChars="200"/>
        <w:rPr>
          <w:rFonts w:hint="eastAsia" w:eastAsia="宋体"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asciiTheme="minorEastAsia" w:hAnsiTheme="minorEastAsia"/>
          <w:color w:val="000000" w:themeColor="text1"/>
          <w:sz w:val="24"/>
          <w:szCs w:val="24"/>
          <w:highlight w:val="none"/>
          <w14:textFill>
            <w14:solidFill>
              <w14:schemeClr w14:val="tx1"/>
            </w14:solidFill>
          </w14:textFill>
        </w:rPr>
        <w:t>措施项目包含但不限于以上所列项目，还应包括：</w:t>
      </w:r>
      <w:r>
        <w:rPr>
          <w:rFonts w:hint="eastAsia" w:ascii="宋体" w:hAnsi="宋体" w:eastAsia="宋体"/>
          <w:color w:val="000000" w:themeColor="text1"/>
          <w:sz w:val="24"/>
          <w:szCs w:val="24"/>
          <w:highlight w:val="none"/>
          <w14:textFill>
            <w14:solidFill>
              <w14:schemeClr w14:val="tx1"/>
            </w14:solidFill>
          </w14:textFill>
        </w:rPr>
        <w:t>预付</w:t>
      </w:r>
      <w:r>
        <w:rPr>
          <w:rFonts w:hint="eastAsia" w:asciiTheme="minorEastAsia" w:hAnsiTheme="minorEastAsia" w:cstheme="minorEastAsia"/>
          <w:color w:val="000000" w:themeColor="text1"/>
          <w:sz w:val="24"/>
          <w:szCs w:val="24"/>
          <w:highlight w:val="none"/>
          <w14:textFill>
            <w14:solidFill>
              <w14:schemeClr w14:val="tx1"/>
            </w14:solidFill>
          </w14:textFill>
        </w:rPr>
        <w:t>款担保手续费、夜间施工费、赶工措施费、冬雨季施工费、已完成工程及设备保护费、地上地下设施及建筑物的临时保护费、混凝土钢筋混凝土模板及支架费、二次搬运费、脚手架费（含吊篮）、施工围挡、垂直运输机械费、大型机械设备进出场及安拆费、施工排水、降水费、防尘降</w:t>
      </w:r>
      <w:r>
        <w:rPr>
          <w:rFonts w:ascii="宋体" w:hAnsi="宋体" w:eastAsia="宋体"/>
          <w:color w:val="000000" w:themeColor="text1"/>
          <w:sz w:val="24"/>
          <w:szCs w:val="24"/>
          <w:highlight w:val="none"/>
          <w14:textFill>
            <w14:solidFill>
              <w14:schemeClr w14:val="tx1"/>
            </w14:solidFill>
          </w14:textFill>
        </w:rPr>
        <w:t>噪费</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各专业工程措施项目费及其他等</w:t>
      </w:r>
      <w:r>
        <w:rPr>
          <w:rFonts w:hint="eastAsia" w:ascii="宋体" w:hAnsi="宋体" w:eastAsia="宋体"/>
          <w:color w:val="000000" w:themeColor="text1"/>
          <w:sz w:val="24"/>
          <w:szCs w:val="24"/>
          <w:highlight w:val="none"/>
          <w14:textFill>
            <w14:solidFill>
              <w14:schemeClr w14:val="tx1"/>
            </w14:solidFill>
          </w14:textFill>
        </w:rPr>
        <w:t>。</w:t>
      </w:r>
    </w:p>
    <w:p w14:paraId="2653B832">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工程量清单中所列措施项目是招标人根据一般情况估计的项目，乙方在投标报价时应根据《建设工程工程量清单计价规范》（GB50500-2013）、招标文件及工程施工的实际需要等将实际可能增加的措施项目费用考虑在措施项目清单“其它”项目中或其他项的单价或合价中。</w:t>
      </w:r>
    </w:p>
    <w:p w14:paraId="3CF32BC6">
      <w:pPr>
        <w:snapToGrid w:val="0"/>
        <w:spacing w:after="200" w:line="300" w:lineRule="auto"/>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措施项目清单的报价为包干费用，结算时不作调整。</w:t>
      </w:r>
      <w:r>
        <w:rPr>
          <w:rFonts w:asciiTheme="minorEastAsia" w:hAnsiTheme="minorEastAsia"/>
          <w:color w:val="000000" w:themeColor="text1"/>
          <w:sz w:val="24"/>
          <w:szCs w:val="24"/>
          <w:highlight w:val="none"/>
          <w14:textFill>
            <w14:solidFill>
              <w14:schemeClr w14:val="tx1"/>
            </w14:solidFill>
          </w14:textFill>
        </w:rPr>
        <w:t>但以上所有措施项目均应由乙方作出详细方案，并报</w:t>
      </w:r>
      <w:r>
        <w:rPr>
          <w:rFonts w:hint="eastAsia" w:ascii="宋体" w:hAnsi="宋体" w:eastAsia="宋体"/>
          <w:color w:val="000000" w:themeColor="text1"/>
          <w:sz w:val="24"/>
          <w:szCs w:val="24"/>
          <w:highlight w:val="none"/>
          <w14:textFill>
            <w14:solidFill>
              <w14:schemeClr w14:val="tx1"/>
            </w14:solidFill>
          </w14:textFill>
        </w:rPr>
        <w:t>甲方</w:t>
      </w:r>
      <w:r>
        <w:rPr>
          <w:rFonts w:hint="eastAsia" w:ascii="宋体" w:hAnsi="宋体" w:eastAsia="宋体"/>
          <w:color w:val="000000" w:themeColor="text1"/>
          <w:sz w:val="24"/>
          <w:szCs w:val="24"/>
          <w:highlight w:val="none"/>
          <w:lang w:val="en-US" w:eastAsia="zh-CN"/>
          <w14:textFill>
            <w14:solidFill>
              <w14:schemeClr w14:val="tx1"/>
            </w14:solidFill>
          </w14:textFill>
        </w:rPr>
        <w:t>委托的监理单位</w:t>
      </w:r>
      <w:r>
        <w:rPr>
          <w:rFonts w:asciiTheme="minorEastAsia" w:hAnsiTheme="minorEastAsia"/>
          <w:color w:val="000000" w:themeColor="text1"/>
          <w:sz w:val="24"/>
          <w:szCs w:val="24"/>
          <w:highlight w:val="none"/>
          <w14:textFill>
            <w14:solidFill>
              <w14:schemeClr w14:val="tx1"/>
            </w14:solidFill>
          </w14:textFill>
        </w:rPr>
        <w:t>审核认可后，方可实施。</w:t>
      </w:r>
    </w:p>
    <w:p w14:paraId="233C093B">
      <w:pPr>
        <w:snapToGrid w:val="0"/>
        <w:spacing w:line="360" w:lineRule="auto"/>
        <w:ind w:firstLine="480"/>
        <w:rPr>
          <w:rFonts w:hint="eastAsia" w:asciiTheme="minorEastAsia" w:hAnsiTheme="minorEastAsia"/>
          <w:b/>
          <w:bCs/>
          <w:color w:val="000000" w:themeColor="text1"/>
          <w:spacing w:val="8"/>
          <w:sz w:val="24"/>
          <w:szCs w:val="24"/>
          <w:highlight w:val="none"/>
          <w14:textFill>
            <w14:solidFill>
              <w14:schemeClr w14:val="tx1"/>
            </w14:solidFill>
          </w14:textFill>
        </w:rPr>
      </w:pPr>
      <w:r>
        <w:rPr>
          <w:rFonts w:asciiTheme="minorEastAsia" w:hAnsiTheme="minorEastAsia"/>
          <w:b/>
          <w:bCs/>
          <w:color w:val="000000" w:themeColor="text1"/>
          <w:spacing w:val="8"/>
          <w:sz w:val="24"/>
          <w:szCs w:val="24"/>
          <w:highlight w:val="none"/>
          <w14:textFill>
            <w14:solidFill>
              <w14:schemeClr w14:val="tx1"/>
            </w14:solidFill>
          </w14:textFill>
        </w:rPr>
        <w:t>第八条 争议的解决</w:t>
      </w:r>
    </w:p>
    <w:p w14:paraId="5A25A1F8">
      <w:pPr>
        <w:snapToGrid w:val="0"/>
        <w:spacing w:line="360" w:lineRule="auto"/>
        <w:ind w:firstLine="525"/>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1、本合同在履行期间，双方发生争议时，在不影响工程进度的前提下，双方可采取协商解决。</w:t>
      </w:r>
    </w:p>
    <w:p w14:paraId="00CF5AE9">
      <w:pPr>
        <w:snapToGrid w:val="0"/>
        <w:spacing w:line="360" w:lineRule="auto"/>
        <w:ind w:firstLine="525"/>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 xml:space="preserve">2、协商不成可通过 </w:t>
      </w:r>
      <w:r>
        <w:rPr>
          <w:rFonts w:asciiTheme="minorEastAsia" w:hAnsiTheme="minorEastAsia"/>
          <w:color w:val="000000" w:themeColor="text1"/>
          <w:spacing w:val="8"/>
          <w:sz w:val="24"/>
          <w:szCs w:val="24"/>
          <w:highlight w:val="none"/>
          <w:u w:val="single"/>
          <w14:textFill>
            <w14:solidFill>
              <w14:schemeClr w14:val="tx1"/>
            </w14:solidFill>
          </w14:textFill>
        </w:rPr>
        <w:t>/</w:t>
      </w:r>
      <w:r>
        <w:rPr>
          <w:rFonts w:asciiTheme="minorEastAsia" w:hAnsiTheme="minorEastAsia"/>
          <w:color w:val="000000" w:themeColor="text1"/>
          <w:spacing w:val="8"/>
          <w:sz w:val="24"/>
          <w:szCs w:val="24"/>
          <w:highlight w:val="none"/>
          <w14:textFill>
            <w14:solidFill>
              <w14:schemeClr w14:val="tx1"/>
            </w14:solidFill>
          </w14:textFill>
        </w:rPr>
        <w:t>进行调解。</w:t>
      </w:r>
    </w:p>
    <w:p w14:paraId="2C0DD624">
      <w:pPr>
        <w:snapToGrid w:val="0"/>
        <w:spacing w:line="360" w:lineRule="auto"/>
        <w:ind w:firstLine="525"/>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3、当事人不愿意通过协商、调解解决或者协商调解不成时，双方可选择下列任何一种方式解决；</w:t>
      </w:r>
    </w:p>
    <w:p w14:paraId="41E0D7ED">
      <w:pPr>
        <w:snapToGrid w:val="0"/>
        <w:spacing w:line="360" w:lineRule="auto"/>
        <w:ind w:firstLine="896" w:firstLineChars="35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口向深圳市仲裁委员会申请仲裁。</w:t>
      </w:r>
    </w:p>
    <w:p w14:paraId="7FB56918">
      <w:pPr>
        <w:snapToGrid w:val="0"/>
        <w:spacing w:line="360" w:lineRule="auto"/>
        <w:ind w:firstLine="896" w:firstLineChars="350"/>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asciiTheme="minorEastAsia" w:hAnsiTheme="minorEastAsia"/>
          <w:color w:val="000000" w:themeColor="text1"/>
          <w:spacing w:val="8"/>
          <w:sz w:val="24"/>
          <w:szCs w:val="24"/>
          <w:highlight w:val="none"/>
          <w14:textFill>
            <w14:solidFill>
              <w14:schemeClr w14:val="tx1"/>
            </w14:solidFill>
          </w14:textFill>
        </w:rPr>
        <w:t>■向工程所在地</w:t>
      </w:r>
      <w:r>
        <w:rPr>
          <w:rFonts w:hint="eastAsia" w:asciiTheme="minorEastAsia" w:hAnsiTheme="minorEastAsia"/>
          <w:color w:val="000000" w:themeColor="text1"/>
          <w:spacing w:val="8"/>
          <w:sz w:val="24"/>
          <w:szCs w:val="24"/>
          <w:highlight w:val="none"/>
          <w14:textFill>
            <w14:solidFill>
              <w14:schemeClr w14:val="tx1"/>
            </w14:solidFill>
          </w14:textFill>
        </w:rPr>
        <w:t>有管辖权的</w:t>
      </w:r>
      <w:r>
        <w:rPr>
          <w:rFonts w:asciiTheme="minorEastAsia" w:hAnsiTheme="minorEastAsia"/>
          <w:color w:val="000000" w:themeColor="text1"/>
          <w:spacing w:val="8"/>
          <w:sz w:val="24"/>
          <w:szCs w:val="24"/>
          <w:highlight w:val="none"/>
          <w14:textFill>
            <w14:solidFill>
              <w14:schemeClr w14:val="tx1"/>
            </w14:solidFill>
          </w14:textFill>
        </w:rPr>
        <w:t>人民法院起诉</w:t>
      </w:r>
      <w:r>
        <w:rPr>
          <w:rFonts w:hint="eastAsia" w:asciiTheme="minorEastAsia" w:hAnsiTheme="minorEastAsia"/>
          <w:color w:val="000000" w:themeColor="text1"/>
          <w:spacing w:val="8"/>
          <w:sz w:val="24"/>
          <w:szCs w:val="24"/>
          <w:highlight w:val="none"/>
          <w:lang w:eastAsia="zh-CN"/>
          <w14:textFill>
            <w14:solidFill>
              <w14:schemeClr w14:val="tx1"/>
            </w14:solidFill>
          </w14:textFill>
        </w:rPr>
        <w:t>。</w:t>
      </w:r>
    </w:p>
    <w:p w14:paraId="7CBCA57E">
      <w:pPr>
        <w:snapToGrid w:val="0"/>
        <w:spacing w:line="360" w:lineRule="auto"/>
        <w:ind w:firstLine="480"/>
        <w:rPr>
          <w:rFonts w:hint="eastAsia" w:asciiTheme="minorEastAsia" w:hAnsiTheme="minorEastAsia"/>
          <w:b/>
          <w:bCs/>
          <w:color w:val="000000" w:themeColor="text1"/>
          <w:spacing w:val="8"/>
          <w:sz w:val="24"/>
          <w:szCs w:val="24"/>
          <w:highlight w:val="none"/>
          <w14:textFill>
            <w14:solidFill>
              <w14:schemeClr w14:val="tx1"/>
            </w14:solidFill>
          </w14:textFill>
        </w:rPr>
      </w:pPr>
      <w:r>
        <w:rPr>
          <w:rFonts w:asciiTheme="minorEastAsia" w:hAnsiTheme="minorEastAsia"/>
          <w:b/>
          <w:bCs/>
          <w:color w:val="000000" w:themeColor="text1"/>
          <w:spacing w:val="8"/>
          <w:sz w:val="24"/>
          <w:szCs w:val="24"/>
          <w:highlight w:val="none"/>
          <w14:textFill>
            <w14:solidFill>
              <w14:schemeClr w14:val="tx1"/>
            </w14:solidFill>
          </w14:textFill>
        </w:rPr>
        <w:t>第九条 合同生效与终止</w:t>
      </w:r>
    </w:p>
    <w:p w14:paraId="54126D62">
      <w:pPr>
        <w:snapToGrid w:val="0"/>
        <w:spacing w:line="360" w:lineRule="auto"/>
        <w:ind w:firstLine="600" w:firstLineChars="25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1、甲乙双方约定本合同自双方</w:t>
      </w:r>
      <w:r>
        <w:rPr>
          <w:rFonts w:hint="eastAsia" w:asciiTheme="minorEastAsia" w:hAnsiTheme="minorEastAsia"/>
          <w:color w:val="000000" w:themeColor="text1"/>
          <w:sz w:val="24"/>
          <w:szCs w:val="24"/>
          <w:highlight w:val="none"/>
          <w14:textFill>
            <w14:solidFill>
              <w14:schemeClr w14:val="tx1"/>
            </w14:solidFill>
          </w14:textFill>
        </w:rPr>
        <w:t>法定代表人或授权代表</w:t>
      </w:r>
      <w:r>
        <w:rPr>
          <w:rFonts w:asciiTheme="minorEastAsia" w:hAnsiTheme="minorEastAsia"/>
          <w:color w:val="000000" w:themeColor="text1"/>
          <w:sz w:val="24"/>
          <w:szCs w:val="24"/>
          <w:highlight w:val="none"/>
          <w14:textFill>
            <w14:solidFill>
              <w14:schemeClr w14:val="tx1"/>
            </w14:solidFill>
          </w14:textFill>
        </w:rPr>
        <w:t>签</w:t>
      </w:r>
      <w:r>
        <w:rPr>
          <w:rFonts w:hint="eastAsia" w:asciiTheme="minorEastAsia" w:hAnsiTheme="minorEastAsia"/>
          <w:color w:val="000000" w:themeColor="text1"/>
          <w:sz w:val="24"/>
          <w:szCs w:val="24"/>
          <w:highlight w:val="none"/>
          <w14:textFill>
            <w14:solidFill>
              <w14:schemeClr w14:val="tx1"/>
            </w14:solidFill>
          </w14:textFill>
        </w:rPr>
        <w:t>名并</w:t>
      </w:r>
      <w:r>
        <w:rPr>
          <w:rFonts w:asciiTheme="minorEastAsia" w:hAnsiTheme="minorEastAsia"/>
          <w:color w:val="000000" w:themeColor="text1"/>
          <w:sz w:val="24"/>
          <w:szCs w:val="24"/>
          <w:highlight w:val="none"/>
          <w14:textFill>
            <w14:solidFill>
              <w14:schemeClr w14:val="tx1"/>
            </w14:solidFill>
          </w14:textFill>
        </w:rPr>
        <w:t>盖</w:t>
      </w:r>
      <w:r>
        <w:rPr>
          <w:rFonts w:hint="eastAsia" w:asciiTheme="minorEastAsia" w:hAnsiTheme="minorEastAsia"/>
          <w:color w:val="000000" w:themeColor="text1"/>
          <w:sz w:val="24"/>
          <w:szCs w:val="24"/>
          <w:highlight w:val="none"/>
          <w14:textFill>
            <w14:solidFill>
              <w14:schemeClr w14:val="tx1"/>
            </w14:solidFill>
          </w14:textFill>
        </w:rPr>
        <w:t>公</w:t>
      </w:r>
      <w:r>
        <w:rPr>
          <w:rFonts w:asciiTheme="minorEastAsia" w:hAnsiTheme="minorEastAsia"/>
          <w:color w:val="000000" w:themeColor="text1"/>
          <w:sz w:val="24"/>
          <w:szCs w:val="24"/>
          <w:highlight w:val="none"/>
          <w14:textFill>
            <w14:solidFill>
              <w14:schemeClr w14:val="tx1"/>
            </w14:solidFill>
          </w14:textFill>
        </w:rPr>
        <w:t>章</w:t>
      </w:r>
      <w:r>
        <w:rPr>
          <w:rFonts w:hint="eastAsia" w:asciiTheme="minorEastAsia" w:hAnsiTheme="minorEastAsia"/>
          <w:color w:val="000000" w:themeColor="text1"/>
          <w:sz w:val="24"/>
          <w:szCs w:val="24"/>
          <w:highlight w:val="none"/>
          <w14:textFill>
            <w14:solidFill>
              <w14:schemeClr w14:val="tx1"/>
            </w14:solidFill>
          </w14:textFill>
        </w:rPr>
        <w:t>或合同专用章</w:t>
      </w:r>
      <w:r>
        <w:rPr>
          <w:rFonts w:asciiTheme="minorEastAsia" w:hAnsiTheme="minorEastAsia"/>
          <w:color w:val="000000" w:themeColor="text1"/>
          <w:sz w:val="24"/>
          <w:szCs w:val="24"/>
          <w:highlight w:val="none"/>
          <w14:textFill>
            <w14:solidFill>
              <w14:schemeClr w14:val="tx1"/>
            </w14:solidFill>
          </w14:textFill>
        </w:rPr>
        <w:t>后生效。</w:t>
      </w:r>
    </w:p>
    <w:p w14:paraId="6537FA75">
      <w:pPr>
        <w:snapToGrid w:val="0"/>
        <w:spacing w:line="360" w:lineRule="auto"/>
        <w:ind w:firstLine="600" w:firstLineChars="25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2、甲乙双方履行完本合同全部义务，工程竣工结算价款支付完毕，本合同即告终止（但本合同争议解决条款除外）。</w:t>
      </w:r>
    </w:p>
    <w:p w14:paraId="69CBEEB7">
      <w:pPr>
        <w:snapToGrid w:val="0"/>
        <w:spacing w:line="360" w:lineRule="auto"/>
        <w:ind w:firstLine="480"/>
        <w:rPr>
          <w:rFonts w:hint="eastAsia" w:asciiTheme="minorEastAsia" w:hAnsiTheme="minorEastAsia"/>
          <w:b/>
          <w:bCs/>
          <w:color w:val="000000" w:themeColor="text1"/>
          <w:spacing w:val="8"/>
          <w:sz w:val="24"/>
          <w:szCs w:val="24"/>
          <w:highlight w:val="none"/>
          <w14:textFill>
            <w14:solidFill>
              <w14:schemeClr w14:val="tx1"/>
            </w14:solidFill>
          </w14:textFill>
        </w:rPr>
      </w:pPr>
      <w:r>
        <w:rPr>
          <w:rFonts w:asciiTheme="minorEastAsia" w:hAnsiTheme="minorEastAsia"/>
          <w:b/>
          <w:bCs/>
          <w:color w:val="000000" w:themeColor="text1"/>
          <w:spacing w:val="8"/>
          <w:sz w:val="24"/>
          <w:szCs w:val="24"/>
          <w:highlight w:val="none"/>
          <w14:textFill>
            <w14:solidFill>
              <w14:schemeClr w14:val="tx1"/>
            </w14:solidFill>
          </w14:textFill>
        </w:rPr>
        <w:t>第十条 合同的解除</w:t>
      </w:r>
    </w:p>
    <w:p w14:paraId="076511CF">
      <w:pPr>
        <w:snapToGrid w:val="0"/>
        <w:spacing w:line="360" w:lineRule="auto"/>
        <w:ind w:firstLine="240" w:firstLineChars="1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有下列情形之一的，可以解除合同：</w:t>
      </w:r>
    </w:p>
    <w:p w14:paraId="57ADB01C">
      <w:pPr>
        <w:snapToGrid w:val="0"/>
        <w:spacing w:line="360" w:lineRule="auto"/>
        <w:ind w:firstLine="720" w:firstLineChars="3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1、因不可抗力导致合同无法履行；</w:t>
      </w:r>
    </w:p>
    <w:p w14:paraId="61155C62">
      <w:pPr>
        <w:snapToGrid w:val="0"/>
        <w:spacing w:line="360" w:lineRule="auto"/>
        <w:ind w:firstLine="720" w:firstLineChars="3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2、甲乙双方协商一致；</w:t>
      </w:r>
    </w:p>
    <w:p w14:paraId="356137D5">
      <w:pPr>
        <w:snapToGrid w:val="0"/>
        <w:spacing w:line="360" w:lineRule="auto"/>
        <w:ind w:firstLine="720" w:firstLineChars="3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3、因一方违约致使合同无法履行</w:t>
      </w:r>
      <w:r>
        <w:rPr>
          <w:rFonts w:hint="eastAsia" w:asciiTheme="minorEastAsia" w:hAnsiTheme="minorEastAsia"/>
          <w:color w:val="000000" w:themeColor="text1"/>
          <w:sz w:val="24"/>
          <w:szCs w:val="24"/>
          <w:highlight w:val="none"/>
          <w14:textFill>
            <w14:solidFill>
              <w14:schemeClr w14:val="tx1"/>
            </w14:solidFill>
          </w14:textFill>
        </w:rPr>
        <w:t>，但违约方仍应按本合同约定承担违约责任。</w:t>
      </w:r>
    </w:p>
    <w:p w14:paraId="3EF607CA">
      <w:pPr>
        <w:snapToGrid w:val="0"/>
        <w:spacing w:line="360" w:lineRule="auto"/>
        <w:ind w:firstLine="480"/>
        <w:rPr>
          <w:rFonts w:hint="eastAsia" w:asciiTheme="minorEastAsia" w:hAnsiTheme="minorEastAsia"/>
          <w:b/>
          <w:bCs/>
          <w:color w:val="000000" w:themeColor="text1"/>
          <w:spacing w:val="8"/>
          <w:sz w:val="24"/>
          <w:szCs w:val="24"/>
          <w:highlight w:val="none"/>
          <w14:textFill>
            <w14:solidFill>
              <w14:schemeClr w14:val="tx1"/>
            </w14:solidFill>
          </w14:textFill>
        </w:rPr>
      </w:pPr>
      <w:r>
        <w:rPr>
          <w:rFonts w:asciiTheme="minorEastAsia" w:hAnsiTheme="minorEastAsia"/>
          <w:b/>
          <w:bCs/>
          <w:color w:val="000000" w:themeColor="text1"/>
          <w:spacing w:val="8"/>
          <w:sz w:val="24"/>
          <w:szCs w:val="24"/>
          <w:highlight w:val="none"/>
          <w14:textFill>
            <w14:solidFill>
              <w14:schemeClr w14:val="tx1"/>
            </w14:solidFill>
          </w14:textFill>
        </w:rPr>
        <w:t>第十一条 附则</w:t>
      </w:r>
    </w:p>
    <w:p w14:paraId="14A79F2A">
      <w:pPr>
        <w:snapToGrid w:val="0"/>
        <w:spacing w:line="360" w:lineRule="auto"/>
        <w:ind w:firstLine="720" w:firstLineChars="3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1、本合同正本壹式陆份，甲方</w:t>
      </w:r>
      <w:r>
        <w:rPr>
          <w:rFonts w:asciiTheme="minorEastAsia" w:hAnsiTheme="minorEastAsia"/>
          <w:b/>
          <w:bCs/>
          <w:color w:val="000000" w:themeColor="text1"/>
          <w:sz w:val="24"/>
          <w:szCs w:val="24"/>
          <w:highlight w:val="none"/>
          <w:u w:val="single"/>
          <w14:textFill>
            <w14:solidFill>
              <w14:schemeClr w14:val="tx1"/>
            </w14:solidFill>
          </w14:textFill>
        </w:rPr>
        <w:t>肆</w:t>
      </w:r>
      <w:r>
        <w:rPr>
          <w:rFonts w:asciiTheme="minorEastAsia" w:hAnsiTheme="minorEastAsia"/>
          <w:color w:val="000000" w:themeColor="text1"/>
          <w:sz w:val="24"/>
          <w:szCs w:val="24"/>
          <w:highlight w:val="none"/>
          <w14:textFill>
            <w14:solidFill>
              <w14:schemeClr w14:val="tx1"/>
            </w14:solidFill>
          </w14:textFill>
        </w:rPr>
        <w:t>份，乙方</w:t>
      </w:r>
      <w:r>
        <w:rPr>
          <w:rFonts w:asciiTheme="minorEastAsia" w:hAnsiTheme="minorEastAsia"/>
          <w:b/>
          <w:bCs/>
          <w:color w:val="000000" w:themeColor="text1"/>
          <w:sz w:val="24"/>
          <w:szCs w:val="24"/>
          <w:highlight w:val="none"/>
          <w:u w:val="single"/>
          <w14:textFill>
            <w14:solidFill>
              <w14:schemeClr w14:val="tx1"/>
            </w14:solidFill>
          </w14:textFill>
        </w:rPr>
        <w:t>贰</w:t>
      </w:r>
      <w:r>
        <w:rPr>
          <w:rFonts w:asciiTheme="minorEastAsia" w:hAnsiTheme="minorEastAsia"/>
          <w:color w:val="000000" w:themeColor="text1"/>
          <w:sz w:val="24"/>
          <w:szCs w:val="24"/>
          <w:highlight w:val="none"/>
          <w14:textFill>
            <w14:solidFill>
              <w14:schemeClr w14:val="tx1"/>
            </w14:solidFill>
          </w14:textFill>
        </w:rPr>
        <w:t>份。</w:t>
      </w:r>
    </w:p>
    <w:p w14:paraId="26EF8A36">
      <w:pPr>
        <w:snapToGrid w:val="0"/>
        <w:spacing w:line="360" w:lineRule="auto"/>
        <w:ind w:firstLine="720" w:firstLineChars="3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2</w:t>
      </w:r>
      <w:r>
        <w:rPr>
          <w:rFonts w:asciiTheme="minorEastAsia" w:hAnsiTheme="minorEastAsia"/>
          <w:color w:val="000000" w:themeColor="text1"/>
          <w:sz w:val="24"/>
          <w:szCs w:val="24"/>
          <w:highlight w:val="none"/>
          <w14:textFill>
            <w14:solidFill>
              <w14:schemeClr w14:val="tx1"/>
            </w14:solidFill>
          </w14:textFill>
        </w:rPr>
        <w:t>、附件</w:t>
      </w:r>
      <w:r>
        <w:rPr>
          <w:rFonts w:hint="eastAsia" w:asciiTheme="minorEastAsia" w:hAnsiTheme="minorEastAsia"/>
          <w:color w:val="000000" w:themeColor="text1"/>
          <w:sz w:val="24"/>
          <w:szCs w:val="24"/>
          <w:highlight w:val="none"/>
          <w14:textFill>
            <w14:solidFill>
              <w14:schemeClr w14:val="tx1"/>
            </w14:solidFill>
          </w14:textFill>
        </w:rPr>
        <w:t>《工程质量保修书》、《主要材料设备参考品牌表》为本合同的有效组成部分，与本合同具有同等法律效力。</w:t>
      </w:r>
    </w:p>
    <w:p w14:paraId="0BDEEE02">
      <w:pPr>
        <w:snapToGrid w:val="0"/>
        <w:spacing w:line="360" w:lineRule="auto"/>
        <w:ind w:firstLine="720" w:firstLineChars="3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3、本合同签署处当事人联系方式和联系信息适用于双方往来联系、书面文件送达及争议解决时法律文书送达。因签署处联系方式和联系信息错误或拒收等原因而无法直接送达的自交邮后第7日视为送达。</w:t>
      </w:r>
    </w:p>
    <w:p w14:paraId="0EA275C9">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以下无正文</w:t>
      </w:r>
      <w:r>
        <w:rPr>
          <w:rFonts w:hint="eastAsia" w:ascii="宋体" w:hAnsi="宋体" w:eastAsia="宋体"/>
          <w:color w:val="000000" w:themeColor="text1"/>
          <w:sz w:val="24"/>
          <w:szCs w:val="24"/>
          <w:highlight w:val="none"/>
          <w14:textFill>
            <w14:solidFill>
              <w14:schemeClr w14:val="tx1"/>
            </w14:solidFill>
          </w14:textFill>
        </w:rPr>
        <w:t>）</w:t>
      </w:r>
    </w:p>
    <w:p w14:paraId="5422F7E8">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2319E95B">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01FD6826">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04164A65">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6BCCC327">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6487BC6F">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13F74674">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05555FEB">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54E1A45C">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524139E8">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6001B1ED">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62070136">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2FB4E4AB">
      <w:pPr>
        <w:snapToGrid w:val="0"/>
        <w:spacing w:line="360" w:lineRule="auto"/>
        <w:ind w:firstLine="720" w:firstLineChars="300"/>
        <w:rPr>
          <w:rFonts w:hint="eastAsia" w:ascii="宋体" w:hAnsi="宋体" w:eastAsia="宋体"/>
          <w:color w:val="000000" w:themeColor="text1"/>
          <w:sz w:val="24"/>
          <w:szCs w:val="24"/>
          <w:highlight w:val="none"/>
          <w14:textFill>
            <w14:solidFill>
              <w14:schemeClr w14:val="tx1"/>
            </w14:solidFill>
          </w14:textFill>
        </w:rPr>
      </w:pPr>
    </w:p>
    <w:p w14:paraId="577AF47D">
      <w:pPr>
        <w:snapToGrid w:val="0"/>
        <w:spacing w:line="360" w:lineRule="auto"/>
        <w:rPr>
          <w:rFonts w:hint="eastAsia" w:ascii="宋体" w:hAnsi="宋体" w:eastAsia="宋体"/>
          <w:color w:val="000000" w:themeColor="text1"/>
          <w:sz w:val="24"/>
          <w:szCs w:val="24"/>
          <w:highlight w:val="none"/>
          <w14:textFill>
            <w14:solidFill>
              <w14:schemeClr w14:val="tx1"/>
            </w14:solidFill>
          </w14:textFill>
        </w:rPr>
      </w:pPr>
    </w:p>
    <w:p w14:paraId="3583D9D0">
      <w:pPr>
        <w:snapToGrid w:val="0"/>
        <w:spacing w:line="360" w:lineRule="auto"/>
        <w:jc w:val="left"/>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（本页签章页，只做签章使用）</w:t>
      </w:r>
    </w:p>
    <w:tbl>
      <w:tblPr>
        <w:tblStyle w:val="39"/>
        <w:tblW w:w="951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755"/>
        <w:gridCol w:w="4755"/>
      </w:tblGrid>
      <w:tr w14:paraId="7A2C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15"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5EF04">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建设单位：</w:t>
            </w:r>
            <w:r>
              <w:rPr>
                <w:rFonts w:ascii="宋体" w:hAnsi="宋体" w:eastAsia="宋体"/>
                <w:color w:val="000000" w:themeColor="text1"/>
                <w:sz w:val="24"/>
                <w:szCs w:val="24"/>
                <w:highlight w:val="none"/>
                <w14:textFill>
                  <w14:solidFill>
                    <w14:schemeClr w14:val="tx1"/>
                  </w14:solidFill>
                </w14:textFill>
              </w:rPr>
              <w:t>（公章）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A4BE1">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施工单位：</w:t>
            </w:r>
            <w:r>
              <w:rPr>
                <w:rFonts w:ascii="宋体" w:hAnsi="宋体" w:eastAsia="宋体"/>
                <w:color w:val="000000" w:themeColor="text1"/>
                <w:sz w:val="24"/>
                <w:szCs w:val="24"/>
                <w:highlight w:val="none"/>
                <w14:textFill>
                  <w14:solidFill>
                    <w14:schemeClr w14:val="tx1"/>
                  </w14:solidFill>
                </w14:textFill>
              </w:rPr>
              <w:t>（公章）</w:t>
            </w:r>
          </w:p>
        </w:tc>
      </w:tr>
      <w:tr w14:paraId="32CF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B0CA9">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法定代表人或其委托代理人：</w:t>
            </w:r>
          </w:p>
          <w:p w14:paraId="6F999B0B">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（签章）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8343C">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法定代表人或其委托代理人：</w:t>
            </w:r>
          </w:p>
          <w:p w14:paraId="0FF9893F">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（签章）</w:t>
            </w:r>
          </w:p>
        </w:tc>
      </w:tr>
      <w:tr w14:paraId="55A0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96D96">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建设单位：</w:t>
            </w:r>
            <w:r>
              <w:rPr>
                <w:rFonts w:ascii="微软雅黑" w:hAnsi="微软雅黑" w:eastAsia="微软雅黑"/>
                <w:color w:val="000000" w:themeColor="text1"/>
                <w:szCs w:val="21"/>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深圳市中天实业有限公司</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F5733">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施工单位：</w:t>
            </w:r>
          </w:p>
        </w:tc>
      </w:tr>
      <w:tr w14:paraId="257F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26617">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组织机构代码：</w:t>
            </w:r>
            <w:r>
              <w:rPr>
                <w:rFonts w:hint="eastAsia" w:ascii="宋体" w:hAnsi="宋体"/>
                <w:b/>
                <w:color w:val="000000" w:themeColor="text1"/>
                <w:sz w:val="24"/>
                <w:highlight w:val="none"/>
                <w14:textFill>
                  <w14:solidFill>
                    <w14:schemeClr w14:val="tx1"/>
                  </w14:solidFill>
                </w14:textFill>
              </w:rPr>
              <w:t>914403001921824856</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B0D4F">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组织机构代码：</w:t>
            </w:r>
          </w:p>
        </w:tc>
      </w:tr>
      <w:tr w14:paraId="7FC4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8C4D1">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地址：</w:t>
            </w:r>
            <w:r>
              <w:rPr>
                <w:rFonts w:hint="eastAsia" w:ascii="宋体" w:hAnsi="宋体"/>
                <w:b/>
                <w:color w:val="000000" w:themeColor="text1"/>
                <w:sz w:val="24"/>
                <w:highlight w:val="none"/>
                <w14:textFill>
                  <w14:solidFill>
                    <w14:schemeClr w14:val="tx1"/>
                  </w14:solidFill>
                </w14:textFill>
              </w:rPr>
              <w:t>深圳市罗湖区水贝二路56号特力大厦四层</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B1E2D">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地址：</w:t>
            </w:r>
          </w:p>
        </w:tc>
      </w:tr>
      <w:tr w14:paraId="1109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DC2C9">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电话：</w:t>
            </w:r>
            <w:r>
              <w:rPr>
                <w:rFonts w:hint="eastAsia" w:ascii="宋体" w:hAnsi="宋体" w:eastAsia="宋体"/>
                <w:b/>
                <w:bCs/>
                <w:color w:val="000000" w:themeColor="text1"/>
                <w:sz w:val="24"/>
                <w:szCs w:val="24"/>
                <w:highlight w:val="none"/>
                <w14:textFill>
                  <w14:solidFill>
                    <w14:schemeClr w14:val="tx1"/>
                  </w14:solidFill>
                </w14:textFill>
              </w:rPr>
              <w:t>0755-25532313</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C9415">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 xml:space="preserve">电话： </w:t>
            </w:r>
          </w:p>
        </w:tc>
      </w:tr>
      <w:tr w14:paraId="3812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AA60C">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开户银行：</w:t>
            </w:r>
            <w:r>
              <w:rPr>
                <w:rFonts w:hint="eastAsia" w:ascii="宋体" w:hAnsi="宋体" w:eastAsia="宋体"/>
                <w:b/>
                <w:bCs/>
                <w:color w:val="000000" w:themeColor="text1"/>
                <w:sz w:val="24"/>
                <w:szCs w:val="24"/>
                <w:highlight w:val="none"/>
                <w14:textFill>
                  <w14:solidFill>
                    <w14:schemeClr w14:val="tx1"/>
                  </w14:solidFill>
                </w14:textFill>
              </w:rPr>
              <w:t>中信银行深圳景田支行</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2C411">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开户银行：</w:t>
            </w:r>
          </w:p>
        </w:tc>
      </w:tr>
      <w:tr w14:paraId="66DA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3838D">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账号：</w:t>
            </w:r>
            <w:r>
              <w:rPr>
                <w:rFonts w:hint="eastAsia" w:ascii="宋体" w:hAnsi="宋体" w:eastAsia="宋体"/>
                <w:b/>
                <w:bCs/>
                <w:color w:val="000000" w:themeColor="text1"/>
                <w:sz w:val="24"/>
                <w:szCs w:val="24"/>
                <w:highlight w:val="none"/>
                <w14:textFill>
                  <w14:solidFill>
                    <w14:schemeClr w14:val="tx1"/>
                  </w14:solidFill>
                </w14:textFill>
              </w:rPr>
              <w:t>7440210182600001182</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8BA70">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 xml:space="preserve">账号： </w:t>
            </w:r>
          </w:p>
        </w:tc>
      </w:tr>
      <w:tr w14:paraId="1140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4EA1990">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签订日期：202</w:t>
            </w:r>
            <w:r>
              <w:rPr>
                <w:rFonts w:hint="eastAsia" w:ascii="宋体" w:hAnsi="宋体" w:eastAsia="宋体"/>
                <w:b/>
                <w:bCs/>
                <w:color w:val="000000" w:themeColor="text1"/>
                <w:sz w:val="24"/>
                <w:szCs w:val="24"/>
                <w:highlight w:val="none"/>
                <w:lang w:val="en-US" w:eastAsia="zh-CN"/>
                <w14:textFill>
                  <w14:solidFill>
                    <w14:schemeClr w14:val="tx1"/>
                  </w14:solidFill>
                </w14:textFill>
              </w:rPr>
              <w:t>5</w:t>
            </w:r>
            <w:r>
              <w:rPr>
                <w:rFonts w:ascii="宋体" w:hAnsi="宋体" w:eastAsia="宋体"/>
                <w:b/>
                <w:bCs/>
                <w:color w:val="000000" w:themeColor="text1"/>
                <w:sz w:val="24"/>
                <w:szCs w:val="24"/>
                <w:highlight w:val="none"/>
                <w14:textFill>
                  <w14:solidFill>
                    <w14:schemeClr w14:val="tx1"/>
                  </w14:solidFill>
                </w14:textFill>
              </w:rPr>
              <w:t>年  月</w:t>
            </w:r>
            <w:r>
              <w:rPr>
                <w:rFonts w:hint="eastAsia" w:ascii="宋体" w:hAnsi="宋体" w:eastAsia="宋体"/>
                <w:b/>
                <w:bCs/>
                <w:color w:val="000000" w:themeColor="text1"/>
                <w:sz w:val="24"/>
                <w:szCs w:val="24"/>
                <w:highlight w:val="none"/>
                <w14:textFill>
                  <w14:solidFill>
                    <w14:schemeClr w14:val="tx1"/>
                  </w14:solidFill>
                </w14:textFill>
              </w:rPr>
              <w:t xml:space="preserve"> </w:t>
            </w:r>
            <w:r>
              <w:rPr>
                <w:rFonts w:ascii="宋体" w:hAnsi="宋体" w:eastAsia="宋体"/>
                <w:b/>
                <w:bCs/>
                <w:color w:val="000000" w:themeColor="text1"/>
                <w:sz w:val="24"/>
                <w:szCs w:val="24"/>
                <w:highlight w:val="none"/>
                <w14:textFill>
                  <w14:solidFill>
                    <w14:schemeClr w14:val="tx1"/>
                  </w14:solidFill>
                </w14:textFill>
              </w:rPr>
              <w:t xml:space="preserve">   日</w:t>
            </w:r>
          </w:p>
        </w:tc>
      </w:tr>
      <w:tr w14:paraId="0289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4A0C247">
            <w:pPr>
              <w:snapToGrid w:val="0"/>
              <w:spacing w:line="360" w:lineRule="auto"/>
              <w:jc w:val="left"/>
              <w:rPr>
                <w:rFonts w:ascii="微软雅黑" w:hAnsi="微软雅黑" w:eastAsia="微软雅黑"/>
                <w:color w:val="000000" w:themeColor="text1"/>
                <w:szCs w:val="21"/>
                <w:highlight w:val="none"/>
                <w14:textFill>
                  <w14:solidFill>
                    <w14:schemeClr w14:val="tx1"/>
                  </w14:solidFill>
                </w14:textFill>
              </w:rPr>
            </w:pPr>
            <w:r>
              <w:rPr>
                <w:rFonts w:ascii="宋体" w:hAnsi="宋体" w:eastAsia="宋体"/>
                <w:b/>
                <w:bCs/>
                <w:color w:val="000000" w:themeColor="text1"/>
                <w:sz w:val="24"/>
                <w:szCs w:val="24"/>
                <w:highlight w:val="none"/>
                <w14:textFill>
                  <w14:solidFill>
                    <w14:schemeClr w14:val="tx1"/>
                  </w14:solidFill>
                </w14:textFill>
              </w:rPr>
              <w:t>签订地点：深圳市罗湖区</w:t>
            </w:r>
          </w:p>
        </w:tc>
      </w:tr>
    </w:tbl>
    <w:p w14:paraId="11FC960B">
      <w:pPr>
        <w:snapToGrid w:val="0"/>
        <w:spacing w:before="60" w:after="60"/>
        <w:rPr>
          <w:rFonts w:hint="eastAsia" w:asciiTheme="minorEastAsia" w:hAnsiTheme="minorEastAsia"/>
          <w:color w:val="000000" w:themeColor="text1"/>
          <w:sz w:val="24"/>
          <w:szCs w:val="24"/>
          <w:highlight w:val="none"/>
          <w14:textFill>
            <w14:solidFill>
              <w14:schemeClr w14:val="tx1"/>
            </w14:solidFill>
          </w14:textFill>
        </w:rPr>
      </w:pPr>
    </w:p>
    <w:p w14:paraId="00852FD1">
      <w:pPr>
        <w:rPr>
          <w:rFonts w:hint="eastAsia" w:ascii="微软雅黑" w:hAnsi="微软雅黑" w:eastAsia="微软雅黑"/>
          <w:color w:val="000000" w:themeColor="text1"/>
          <w:sz w:val="22"/>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br w:type="page"/>
      </w:r>
    </w:p>
    <w:p w14:paraId="753091A6">
      <w:pPr>
        <w:snapToGrid w:val="0"/>
        <w:spacing w:line="360" w:lineRule="auto"/>
        <w:rPr>
          <w:b/>
          <w:bCs/>
          <w:color w:val="000000" w:themeColor="text1"/>
          <w:sz w:val="36"/>
          <w:szCs w:val="36"/>
          <w:highlight w:val="none"/>
          <w14:textFill>
            <w14:solidFill>
              <w14:schemeClr w14:val="tx1"/>
            </w14:solidFill>
          </w14:textFill>
        </w:rPr>
      </w:pPr>
      <w:r>
        <w:rPr>
          <w:b/>
          <w:bCs/>
          <w:color w:val="000000" w:themeColor="text1"/>
          <w:highlight w:val="none"/>
          <w14:textFill>
            <w14:solidFill>
              <w14:schemeClr w14:val="tx1"/>
            </w14:solidFill>
          </w14:textFill>
        </w:rPr>
        <w:t>合同附件</w:t>
      </w:r>
      <w:r>
        <w:rPr>
          <w:rFonts w:hint="eastAsia"/>
          <w:b/>
          <w:bCs/>
          <w:color w:val="000000" w:themeColor="text1"/>
          <w:highlight w:val="none"/>
          <w14:textFill>
            <w14:solidFill>
              <w14:schemeClr w14:val="tx1"/>
            </w14:solidFill>
          </w14:textFill>
        </w:rPr>
        <w:t>一：</w:t>
      </w:r>
    </w:p>
    <w:p w14:paraId="24DFC4EE">
      <w:pPr>
        <w:tabs>
          <w:tab w:val="left" w:pos="2568"/>
          <w:tab w:val="center" w:pos="4536"/>
        </w:tabs>
        <w:snapToGrid w:val="0"/>
        <w:spacing w:line="360" w:lineRule="auto"/>
        <w:jc w:val="left"/>
        <w:rPr>
          <w:rFonts w:hint="eastAsia" w:ascii="微软雅黑" w:hAnsi="微软雅黑" w:eastAsia="微软雅黑"/>
          <w:color w:val="000000" w:themeColor="text1"/>
          <w:sz w:val="22"/>
          <w:highlight w:val="none"/>
          <w14:textFill>
            <w14:solidFill>
              <w14:schemeClr w14:val="tx1"/>
            </w14:solidFill>
          </w14:textFill>
        </w:rPr>
      </w:pPr>
      <w:r>
        <w:rPr>
          <w:b/>
          <w:bCs/>
          <w:color w:val="000000" w:themeColor="text1"/>
          <w:sz w:val="30"/>
          <w:szCs w:val="30"/>
          <w:highlight w:val="none"/>
          <w14:textFill>
            <w14:solidFill>
              <w14:schemeClr w14:val="tx1"/>
            </w14:solidFill>
          </w14:textFill>
        </w:rPr>
        <w:tab/>
      </w:r>
      <w:r>
        <w:rPr>
          <w:b/>
          <w:bCs/>
          <w:color w:val="000000" w:themeColor="text1"/>
          <w:sz w:val="30"/>
          <w:szCs w:val="30"/>
          <w:highlight w:val="none"/>
          <w14:textFill>
            <w14:solidFill>
              <w14:schemeClr w14:val="tx1"/>
            </w14:solidFill>
          </w14:textFill>
        </w:rPr>
        <w:tab/>
      </w:r>
      <w:r>
        <w:rPr>
          <w:b/>
          <w:bCs/>
          <w:color w:val="000000" w:themeColor="text1"/>
          <w:sz w:val="30"/>
          <w:szCs w:val="30"/>
          <w:highlight w:val="none"/>
          <w14:textFill>
            <w14:solidFill>
              <w14:schemeClr w14:val="tx1"/>
            </w14:solidFill>
          </w14:textFill>
        </w:rPr>
        <w:t>工程质量保修书</w:t>
      </w:r>
    </w:p>
    <w:p w14:paraId="28204267">
      <w:pPr>
        <w:snapToGrid w:val="0"/>
        <w:spacing w:line="360" w:lineRule="auto"/>
        <w:ind w:firstLine="42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Cs w:val="21"/>
          <w:highlight w:val="none"/>
          <w14:textFill>
            <w14:solidFill>
              <w14:schemeClr w14:val="tx1"/>
            </w14:solidFill>
          </w14:textFill>
        </w:rPr>
        <w:t>发包人（全称）：</w:t>
      </w:r>
      <w:r>
        <w:rPr>
          <w:rFonts w:hint="eastAsia"/>
          <w:b/>
          <w:bCs/>
          <w:color w:val="000000" w:themeColor="text1"/>
          <w:highlight w:val="none"/>
          <w14:textFill>
            <w14:solidFill>
              <w14:schemeClr w14:val="tx1"/>
            </w14:solidFill>
          </w14:textFill>
        </w:rPr>
        <w:t>深圳市</w:t>
      </w:r>
      <w:r>
        <w:rPr>
          <w:rFonts w:hint="eastAsia"/>
          <w:b/>
          <w:bCs/>
          <w:color w:val="000000" w:themeColor="text1"/>
          <w:highlight w:val="none"/>
          <w:lang w:val="en-US" w:eastAsia="zh-CN"/>
          <w14:textFill>
            <w14:solidFill>
              <w14:schemeClr w14:val="tx1"/>
            </w14:solidFill>
          </w14:textFill>
        </w:rPr>
        <w:t>中天实业</w:t>
      </w:r>
      <w:r>
        <w:rPr>
          <w:b/>
          <w:bCs/>
          <w:color w:val="000000" w:themeColor="text1"/>
          <w:highlight w:val="none"/>
          <w:lang w:val="zh-CN"/>
          <w14:textFill>
            <w14:solidFill>
              <w14:schemeClr w14:val="tx1"/>
            </w14:solidFill>
          </w14:textFill>
        </w:rPr>
        <w:t>有限公司</w:t>
      </w:r>
    </w:p>
    <w:p w14:paraId="14C66995">
      <w:pPr>
        <w:snapToGrid w:val="0"/>
        <w:spacing w:line="360" w:lineRule="auto"/>
        <w:ind w:firstLine="42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Cs w:val="21"/>
          <w:highlight w:val="none"/>
          <w14:textFill>
            <w14:solidFill>
              <w14:schemeClr w14:val="tx1"/>
            </w14:solidFill>
          </w14:textFill>
        </w:rPr>
        <w:t>承包人（全称）：</w:t>
      </w:r>
    </w:p>
    <w:p w14:paraId="5D6284B9">
      <w:pPr>
        <w:snapToGrid w:val="0"/>
        <w:spacing w:line="360" w:lineRule="auto"/>
        <w:ind w:firstLine="42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Cs w:val="21"/>
          <w:highlight w:val="none"/>
          <w14:textFill>
            <w14:solidFill>
              <w14:schemeClr w14:val="tx1"/>
            </w14:solidFill>
          </w14:textFill>
        </w:rPr>
        <w:t>为保证（工程名称）</w:t>
      </w:r>
      <w:r>
        <w:rPr>
          <w:rFonts w:hint="eastAsia"/>
          <w:b/>
          <w:bCs/>
          <w:color w:val="000000" w:themeColor="text1"/>
          <w:szCs w:val="21"/>
          <w:highlight w:val="none"/>
          <w:u w:val="single"/>
          <w14:textFill>
            <w14:solidFill>
              <w14:schemeClr w14:val="tx1"/>
            </w14:solidFill>
          </w14:textFill>
        </w:rPr>
        <w:t>中天综合楼质量提升项目（室内装修工程）</w:t>
      </w:r>
      <w:r>
        <w:rPr>
          <w:color w:val="000000" w:themeColor="text1"/>
          <w:szCs w:val="21"/>
          <w:highlight w:val="none"/>
          <w14:textFill>
            <w14:solidFill>
              <w14:schemeClr w14:val="tx1"/>
            </w14:solidFill>
          </w14:textFill>
        </w:rPr>
        <w:t>在合理使用期限内正常使用，发包人和承包人根据《中华人民共和国建筑法（2011修正）》、《建设工程质量管理条例》、《深圳特区建设工程质量管理条例》，经协商一致，签订工程质量保修书。承包人在质量保修期内按照有关规定及双方约定承担工程质量保修责任。</w:t>
      </w:r>
    </w:p>
    <w:p w14:paraId="33889AD5">
      <w:pPr>
        <w:snapToGrid w:val="0"/>
        <w:spacing w:line="360" w:lineRule="auto"/>
        <w:ind w:firstLine="56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 w:val="28"/>
          <w:szCs w:val="28"/>
          <w:highlight w:val="none"/>
          <w14:textFill>
            <w14:solidFill>
              <w14:schemeClr w14:val="tx1"/>
            </w14:solidFill>
          </w14:textFill>
        </w:rPr>
        <w:t>一、工程质量保修范围</w:t>
      </w:r>
    </w:p>
    <w:p w14:paraId="60944D47">
      <w:pPr>
        <w:snapToGrid w:val="0"/>
        <w:spacing w:line="360" w:lineRule="auto"/>
        <w:ind w:firstLine="42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Cs w:val="21"/>
          <w:highlight w:val="none"/>
          <w14:textFill>
            <w14:solidFill>
              <w14:schemeClr w14:val="tx1"/>
            </w14:solidFill>
          </w14:textFill>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14:paraId="78C98150">
      <w:pPr>
        <w:snapToGrid w:val="0"/>
        <w:spacing w:line="360" w:lineRule="auto"/>
        <w:ind w:firstLine="42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Cs w:val="21"/>
          <w:highlight w:val="none"/>
          <w14:textFill>
            <w14:solidFill>
              <w14:schemeClr w14:val="tx1"/>
            </w14:solidFill>
          </w14:textFill>
        </w:rPr>
        <w:t>具体质量保修范围，双方约定如下：</w:t>
      </w:r>
    </w:p>
    <w:p w14:paraId="7E29C6B3">
      <w:pPr>
        <w:snapToGrid w:val="0"/>
        <w:spacing w:line="360" w:lineRule="auto"/>
        <w:ind w:firstLine="420" w:firstLineChars="200"/>
        <w:rPr>
          <w:rFonts w:hint="eastAsia" w:ascii="微软雅黑" w:hAnsi="微软雅黑"/>
          <w:color w:val="000000" w:themeColor="text1"/>
          <w:sz w:val="22"/>
          <w:highlight w:val="none"/>
          <w14:textFill>
            <w14:solidFill>
              <w14:schemeClr w14:val="tx1"/>
            </w14:solidFill>
          </w14:textFill>
        </w:rPr>
      </w:pPr>
      <w:r>
        <w:rPr>
          <w:color w:val="000000" w:themeColor="text1"/>
          <w:szCs w:val="21"/>
          <w:highlight w:val="none"/>
          <w:u w:val="single"/>
          <w14:textFill>
            <w14:solidFill>
              <w14:schemeClr w14:val="tx1"/>
            </w14:solidFill>
          </w14:textFill>
        </w:rPr>
        <w:t>承包人承包范围内的所有项目</w:t>
      </w:r>
      <w:r>
        <w:rPr>
          <w:rFonts w:hint="eastAsia"/>
          <w:color w:val="000000" w:themeColor="text1"/>
          <w:szCs w:val="21"/>
          <w:highlight w:val="none"/>
          <w:u w:val="single"/>
          <w14:textFill>
            <w14:solidFill>
              <w14:schemeClr w14:val="tx1"/>
            </w14:solidFill>
          </w14:textFill>
        </w:rPr>
        <w:t>。</w:t>
      </w:r>
    </w:p>
    <w:p w14:paraId="0F4158AC">
      <w:pPr>
        <w:snapToGrid w:val="0"/>
        <w:spacing w:line="360" w:lineRule="auto"/>
        <w:ind w:firstLine="56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 w:val="28"/>
          <w:szCs w:val="28"/>
          <w:highlight w:val="none"/>
          <w14:textFill>
            <w14:solidFill>
              <w14:schemeClr w14:val="tx1"/>
            </w14:solidFill>
          </w14:textFill>
        </w:rPr>
        <w:t>二、工程质量保修期</w:t>
      </w:r>
    </w:p>
    <w:p w14:paraId="732554C4">
      <w:pPr>
        <w:snapToGrid w:val="0"/>
        <w:spacing w:line="360" w:lineRule="auto"/>
        <w:ind w:firstLine="420" w:firstLineChars="200"/>
        <w:rPr>
          <w:rFonts w:hint="eastAsia" w:asciiTheme="minorEastAsia" w:hAnsiTheme="minorEastAsia" w:cstheme="minorEastAsia"/>
          <w:color w:val="000000" w:themeColor="text1"/>
          <w:sz w:val="22"/>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质量保修期从工程实际竣工验收合格之日算起。单项竣工验收的工程，按单项工程分别计算质量保修期。</w:t>
      </w:r>
    </w:p>
    <w:p w14:paraId="700FB82E">
      <w:pPr>
        <w:snapToGrid w:val="0"/>
        <w:spacing w:line="360" w:lineRule="auto"/>
        <w:ind w:firstLine="420" w:firstLineChars="200"/>
        <w:rPr>
          <w:rFonts w:hint="eastAsia" w:asciiTheme="minorEastAsia" w:hAnsiTheme="minorEastAsia" w:cstheme="minorEastAsia"/>
          <w:color w:val="000000" w:themeColor="text1"/>
          <w:sz w:val="22"/>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双方约定本工程质量保修期如下：</w:t>
      </w:r>
    </w:p>
    <w:p w14:paraId="300DC993">
      <w:pPr>
        <w:snapToGrid w:val="0"/>
        <w:spacing w:line="360" w:lineRule="auto"/>
        <w:ind w:firstLine="640" w:firstLineChars="200"/>
        <w:rPr>
          <w:rFonts w:hint="eastAsia" w:asciiTheme="minorEastAsia" w:hAnsiTheme="minorEastAsia" w:cstheme="minorEastAsia"/>
          <w:color w:val="000000" w:themeColor="text1"/>
          <w:sz w:val="22"/>
          <w:highlight w:val="none"/>
          <w14:textFill>
            <w14:solidFill>
              <w14:schemeClr w14:val="tx1"/>
            </w14:solidFill>
          </w14:textFill>
        </w:rPr>
      </w:pPr>
      <w:r>
        <w:rPr>
          <w:rFonts w:hint="eastAsia" w:asciiTheme="minorEastAsia" w:hAnsiTheme="minorEastAsia" w:cstheme="minorEastAsia"/>
          <w:color w:val="000000" w:themeColor="text1"/>
          <w:sz w:val="32"/>
          <w:szCs w:val="32"/>
          <w:highlight w:val="none"/>
          <w14:textFill>
            <w14:solidFill>
              <w14:schemeClr w14:val="tx1"/>
            </w14:solidFill>
          </w14:textFill>
        </w:rPr>
        <w:t>□</w:t>
      </w:r>
      <w:r>
        <w:rPr>
          <w:rFonts w:hint="eastAsia" w:asciiTheme="minorEastAsia" w:hAnsiTheme="minorEastAsia" w:cstheme="minorEastAsia"/>
          <w:color w:val="000000" w:themeColor="text1"/>
          <w:szCs w:val="21"/>
          <w:highlight w:val="none"/>
          <w14:textFill>
            <w14:solidFill>
              <w14:schemeClr w14:val="tx1"/>
            </w14:solidFill>
          </w14:textFill>
        </w:rPr>
        <w:t>地基基础工程、主体结构工程为设计文件规定的合理使用年限；</w:t>
      </w:r>
    </w:p>
    <w:p w14:paraId="2303FAB5">
      <w:pPr>
        <w:snapToGrid w:val="0"/>
        <w:spacing w:line="360" w:lineRule="auto"/>
        <w:ind w:firstLine="640" w:firstLineChars="200"/>
        <w:rPr>
          <w:rFonts w:hint="eastAsia" w:asciiTheme="minorEastAsia" w:hAnsiTheme="minorEastAsia" w:cstheme="minorEastAsia"/>
          <w:color w:val="000000" w:themeColor="text1"/>
          <w:sz w:val="22"/>
          <w:highlight w:val="none"/>
          <w14:textFill>
            <w14:solidFill>
              <w14:schemeClr w14:val="tx1"/>
            </w14:solidFill>
          </w14:textFill>
        </w:rPr>
      </w:pPr>
      <w:r>
        <w:rPr>
          <w:rFonts w:hint="eastAsia" w:asciiTheme="minorEastAsia" w:hAnsiTheme="minorEastAsia" w:cstheme="minorEastAsia"/>
          <w:color w:val="000000" w:themeColor="text1"/>
          <w:sz w:val="32"/>
          <w:szCs w:val="32"/>
          <w:highlight w:val="none"/>
          <w14:textFill>
            <w14:solidFill>
              <w14:schemeClr w14:val="tx1"/>
            </w14:solidFill>
          </w14:textFill>
        </w:rPr>
        <w:sym w:font="Wingdings 2" w:char="F052"/>
      </w:r>
      <w:r>
        <w:rPr>
          <w:rFonts w:hint="eastAsia" w:asciiTheme="minorEastAsia" w:hAnsiTheme="minorEastAsia" w:cstheme="minorEastAsia"/>
          <w:color w:val="000000" w:themeColor="text1"/>
          <w:szCs w:val="21"/>
          <w:highlight w:val="none"/>
          <w14:textFill>
            <w14:solidFill>
              <w14:schemeClr w14:val="tx1"/>
            </w14:solidFill>
          </w14:textFill>
        </w:rPr>
        <w:t>屋面防水工程、有防水要求的卫生间/房间和外墙面的防渗漏工程为</w:t>
      </w:r>
      <w:r>
        <w:rPr>
          <w:rFonts w:hint="eastAsia" w:asciiTheme="minorEastAsia" w:hAnsiTheme="minorEastAsia" w:cstheme="minorEastAsia"/>
          <w:color w:val="000000" w:themeColor="text1"/>
          <w:szCs w:val="21"/>
          <w:highlight w:val="none"/>
          <w:u w:val="single"/>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年（最低为5年）；</w:t>
      </w:r>
    </w:p>
    <w:p w14:paraId="28E410D4">
      <w:pPr>
        <w:snapToGrid w:val="0"/>
        <w:spacing w:line="360" w:lineRule="auto"/>
        <w:ind w:firstLine="640" w:firstLineChars="200"/>
        <w:rPr>
          <w:rFonts w:hint="eastAsia" w:asciiTheme="minorEastAsia" w:hAnsiTheme="minorEastAsia" w:cstheme="minorEastAsia"/>
          <w:color w:val="000000" w:themeColor="text1"/>
          <w:sz w:val="22"/>
          <w:highlight w:val="none"/>
          <w14:textFill>
            <w14:solidFill>
              <w14:schemeClr w14:val="tx1"/>
            </w14:solidFill>
          </w14:textFill>
        </w:rPr>
      </w:pPr>
      <w:r>
        <w:rPr>
          <w:rFonts w:hint="eastAsia" w:asciiTheme="minorEastAsia" w:hAnsiTheme="minorEastAsia" w:cstheme="minorEastAsia"/>
          <w:color w:val="000000" w:themeColor="text1"/>
          <w:sz w:val="32"/>
          <w:szCs w:val="32"/>
          <w:highlight w:val="none"/>
          <w14:textFill>
            <w14:solidFill>
              <w14:schemeClr w14:val="tx1"/>
            </w14:solidFill>
          </w14:textFill>
        </w:rPr>
        <w:sym w:font="Wingdings 2" w:char="F052"/>
      </w:r>
      <w:r>
        <w:rPr>
          <w:rFonts w:hint="eastAsia" w:asciiTheme="minorEastAsia" w:hAnsiTheme="minorEastAsia" w:cstheme="minorEastAsia"/>
          <w:color w:val="000000" w:themeColor="text1"/>
          <w:szCs w:val="21"/>
          <w:highlight w:val="none"/>
          <w14:textFill>
            <w14:solidFill>
              <w14:schemeClr w14:val="tx1"/>
            </w14:solidFill>
          </w14:textFill>
        </w:rPr>
        <w:t>电气管线工程、给排水管道工程、设备安装工程为</w:t>
      </w:r>
      <w:r>
        <w:rPr>
          <w:rFonts w:hint="eastAsia" w:asciiTheme="minorEastAsia" w:hAnsiTheme="minorEastAsia" w:cstheme="minorEastAsia"/>
          <w:color w:val="000000" w:themeColor="text1"/>
          <w:szCs w:val="21"/>
          <w:highlight w:val="none"/>
          <w:u w:val="singl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年（最低为2年）；</w:t>
      </w:r>
    </w:p>
    <w:p w14:paraId="2D4F6DC2">
      <w:pPr>
        <w:snapToGrid w:val="0"/>
        <w:spacing w:line="360" w:lineRule="auto"/>
        <w:ind w:firstLine="640" w:firstLineChars="200"/>
        <w:rPr>
          <w:rFonts w:hint="eastAsia" w:asciiTheme="minorEastAsia" w:hAnsiTheme="minorEastAsia" w:cstheme="minorEastAsia"/>
          <w:color w:val="000000" w:themeColor="text1"/>
          <w:sz w:val="22"/>
          <w:highlight w:val="none"/>
          <w14:textFill>
            <w14:solidFill>
              <w14:schemeClr w14:val="tx1"/>
            </w14:solidFill>
          </w14:textFill>
        </w:rPr>
      </w:pPr>
      <w:r>
        <w:rPr>
          <w:rFonts w:hint="eastAsia" w:asciiTheme="minorEastAsia" w:hAnsiTheme="minorEastAsia" w:cstheme="minorEastAsia"/>
          <w:color w:val="000000" w:themeColor="text1"/>
          <w:sz w:val="32"/>
          <w:szCs w:val="32"/>
          <w:highlight w:val="none"/>
          <w14:textFill>
            <w14:solidFill>
              <w14:schemeClr w14:val="tx1"/>
            </w14:solidFill>
          </w14:textFill>
        </w:rPr>
        <w:sym w:font="Wingdings 2" w:char="F052"/>
      </w:r>
      <w:r>
        <w:rPr>
          <w:rFonts w:hint="eastAsia" w:asciiTheme="minorEastAsia" w:hAnsiTheme="minorEastAsia" w:cstheme="minorEastAsia"/>
          <w:color w:val="000000" w:themeColor="text1"/>
          <w:szCs w:val="21"/>
          <w:highlight w:val="none"/>
          <w14:textFill>
            <w14:solidFill>
              <w14:schemeClr w14:val="tx1"/>
            </w14:solidFill>
          </w14:textFill>
        </w:rPr>
        <w:t>供热和供冷系统工程为</w:t>
      </w:r>
      <w:r>
        <w:rPr>
          <w:rFonts w:hint="eastAsia" w:asciiTheme="minorEastAsia" w:hAnsiTheme="minorEastAsia" w:cstheme="minorEastAsia"/>
          <w:color w:val="000000" w:themeColor="text1"/>
          <w:szCs w:val="21"/>
          <w:highlight w:val="none"/>
          <w:u w:val="singl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个（最低为2个）采暖期、供冷期；</w:t>
      </w:r>
    </w:p>
    <w:p w14:paraId="7D018E88">
      <w:pPr>
        <w:snapToGrid w:val="0"/>
        <w:spacing w:line="360" w:lineRule="auto"/>
        <w:ind w:firstLine="640" w:firstLineChars="200"/>
        <w:rPr>
          <w:rFonts w:hint="eastAsia" w:asciiTheme="minorEastAsia" w:hAnsiTheme="minorEastAsia" w:cstheme="minorEastAsia"/>
          <w:color w:val="000000" w:themeColor="text1"/>
          <w:sz w:val="22"/>
          <w:highlight w:val="none"/>
          <w14:textFill>
            <w14:solidFill>
              <w14:schemeClr w14:val="tx1"/>
            </w14:solidFill>
          </w14:textFill>
        </w:rPr>
      </w:pPr>
      <w:r>
        <w:rPr>
          <w:rFonts w:hint="eastAsia" w:asciiTheme="minorEastAsia" w:hAnsiTheme="minorEastAsia" w:cstheme="minorEastAsia"/>
          <w:color w:val="000000" w:themeColor="text1"/>
          <w:sz w:val="32"/>
          <w:szCs w:val="32"/>
          <w:highlight w:val="none"/>
          <w14:textFill>
            <w14:solidFill>
              <w14:schemeClr w14:val="tx1"/>
            </w14:solidFill>
          </w14:textFill>
        </w:rPr>
        <w:sym w:font="Wingdings 2" w:char="F052"/>
      </w:r>
      <w:r>
        <w:rPr>
          <w:rFonts w:hint="eastAsia" w:asciiTheme="minorEastAsia" w:hAnsiTheme="minorEastAsia" w:cstheme="minorEastAsia"/>
          <w:color w:val="000000" w:themeColor="text1"/>
          <w:szCs w:val="21"/>
          <w:highlight w:val="none"/>
          <w14:textFill>
            <w14:solidFill>
              <w14:schemeClr w14:val="tx1"/>
            </w14:solidFill>
          </w14:textFill>
        </w:rPr>
        <w:t>装饰装修工程为</w:t>
      </w:r>
      <w:r>
        <w:rPr>
          <w:rFonts w:hint="eastAsia" w:asciiTheme="minorEastAsia" w:hAnsiTheme="minorEastAsia" w:cstheme="minorEastAsia"/>
          <w:color w:val="000000" w:themeColor="text1"/>
          <w:szCs w:val="21"/>
          <w:highlight w:val="none"/>
          <w:u w:val="singl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年；</w:t>
      </w:r>
    </w:p>
    <w:p w14:paraId="075A0F7C">
      <w:pPr>
        <w:snapToGrid w:val="0"/>
        <w:spacing w:line="360" w:lineRule="auto"/>
        <w:ind w:firstLine="640" w:firstLineChars="200"/>
        <w:rPr>
          <w:rFonts w:hint="eastAsia" w:asciiTheme="minorEastAsia" w:hAnsiTheme="minorEastAsia" w:cstheme="minorEastAsia"/>
          <w:color w:val="000000" w:themeColor="text1"/>
          <w:sz w:val="22"/>
          <w:highlight w:val="none"/>
          <w14:textFill>
            <w14:solidFill>
              <w14:schemeClr w14:val="tx1"/>
            </w14:solidFill>
          </w14:textFill>
        </w:rPr>
      </w:pPr>
      <w:r>
        <w:rPr>
          <w:rFonts w:hint="eastAsia" w:asciiTheme="minorEastAsia" w:hAnsiTheme="minorEastAsia" w:cstheme="minorEastAsia"/>
          <w:color w:val="000000" w:themeColor="text1"/>
          <w:sz w:val="32"/>
          <w:szCs w:val="32"/>
          <w:highlight w:val="none"/>
          <w14:textFill>
            <w14:solidFill>
              <w14:schemeClr w14:val="tx1"/>
            </w14:solidFill>
          </w14:textFill>
        </w:rPr>
        <w:sym w:font="Wingdings 2" w:char="F052"/>
      </w:r>
      <w:r>
        <w:rPr>
          <w:rFonts w:hint="eastAsia" w:asciiTheme="minorEastAsia" w:hAnsiTheme="minorEastAsia" w:cstheme="minorEastAsia"/>
          <w:color w:val="000000" w:themeColor="text1"/>
          <w:szCs w:val="21"/>
          <w:highlight w:val="none"/>
          <w14:textFill>
            <w14:solidFill>
              <w14:schemeClr w14:val="tx1"/>
            </w14:solidFill>
          </w14:textFill>
        </w:rPr>
        <w:t>其他项目保修期约定：</w:t>
      </w:r>
      <w:r>
        <w:rPr>
          <w:rFonts w:ascii="宋体" w:hAnsi="宋体" w:eastAsia="宋体"/>
          <w:color w:val="000000" w:themeColor="text1"/>
          <w:szCs w:val="21"/>
          <w:highlight w:val="none"/>
          <w:u w:val="single"/>
          <w14:textFill>
            <w14:solidFill>
              <w14:schemeClr w14:val="tx1"/>
            </w14:solidFill>
          </w14:textFill>
        </w:rPr>
        <w:t>2年，且不低于法定保修期限</w:t>
      </w:r>
      <w:r>
        <w:rPr>
          <w:rFonts w:hint="eastAsia" w:ascii="宋体" w:hAnsi="宋体" w:eastAsia="宋体"/>
          <w:color w:val="000000" w:themeColor="text1"/>
          <w:szCs w:val="21"/>
          <w:highlight w:val="none"/>
          <w:u w:val="single"/>
          <w:lang w:eastAsia="zh-CN"/>
          <w14:textFill>
            <w14:solidFill>
              <w14:schemeClr w14:val="tx1"/>
            </w14:solidFill>
          </w14:textFill>
        </w:rPr>
        <w:t>。</w:t>
      </w:r>
    </w:p>
    <w:p w14:paraId="3FF8F99C">
      <w:pPr>
        <w:snapToGrid w:val="0"/>
        <w:spacing w:line="360" w:lineRule="auto"/>
        <w:ind w:firstLine="56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 w:val="28"/>
          <w:szCs w:val="28"/>
          <w:highlight w:val="none"/>
          <w14:textFill>
            <w14:solidFill>
              <w14:schemeClr w14:val="tx1"/>
            </w14:solidFill>
          </w14:textFill>
        </w:rPr>
        <w:t>三、工程质量保修责任</w:t>
      </w:r>
    </w:p>
    <w:p w14:paraId="419CC371">
      <w:pPr>
        <w:pStyle w:val="66"/>
        <w:numPr>
          <w:ilvl w:val="-1"/>
          <w:numId w:val="0"/>
        </w:numPr>
        <w:spacing w:line="360" w:lineRule="auto"/>
        <w:ind w:left="426" w:firstLine="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属于保修范围内的项目，在保修期内，承包人应在接到保修通知之后24小时内派人修理。承包人不在约定期限内派人修理，发包人可委托其他人员修理，由此产生的费用由承包人承担，优先从质量保证金中扣除。</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无可扣除的质量保证金或质量保证金不足以抵扣的，承包人应于发包人通知补缴之日起5日内支付，承包人逾期支付的，每日按照应付金额的万分之五向发包人支付逾期付款违约金。</w:t>
      </w:r>
    </w:p>
    <w:p w14:paraId="5507BD1B">
      <w:pPr>
        <w:snapToGrid w:val="0"/>
        <w:spacing w:line="360" w:lineRule="auto"/>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p>
    <w:p w14:paraId="77F38A94">
      <w:pPr>
        <w:snapToGrid w:val="0"/>
        <w:spacing w:line="360" w:lineRule="auto"/>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2.发生紧急抢修事故的，承包人接到事故通知后，应立即到达事故现场抢修。</w:t>
      </w:r>
    </w:p>
    <w:p w14:paraId="311F854A">
      <w:pPr>
        <w:snapToGrid w:val="0"/>
        <w:spacing w:line="360" w:lineRule="auto"/>
        <w:ind w:firstLine="56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 w:val="28"/>
          <w:szCs w:val="28"/>
          <w:highlight w:val="none"/>
          <w14:textFill>
            <w14:solidFill>
              <w14:schemeClr w14:val="tx1"/>
            </w14:solidFill>
          </w14:textFill>
        </w:rPr>
        <w:t>四、工程质量保修费用</w:t>
      </w:r>
    </w:p>
    <w:p w14:paraId="0A9C679A">
      <w:pPr>
        <w:snapToGrid w:val="0"/>
        <w:spacing w:line="360" w:lineRule="auto"/>
        <w:ind w:firstLine="420" w:firstLineChars="200"/>
        <w:rPr>
          <w:rFonts w:hint="eastAsia" w:ascii="微软雅黑" w:hAnsi="微软雅黑" w:eastAsia="微软雅黑"/>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质保期满后的</w:t>
      </w:r>
      <w:r>
        <w:rPr>
          <w:color w:val="000000" w:themeColor="text1"/>
          <w:szCs w:val="21"/>
          <w:highlight w:val="none"/>
          <w14:textFill>
            <w14:solidFill>
              <w14:schemeClr w14:val="tx1"/>
            </w14:solidFill>
          </w14:textFill>
        </w:rPr>
        <w:t>工程质量保修费用及相关的损害赔偿责任由造成质量缺陷的责任方承担。</w:t>
      </w:r>
    </w:p>
    <w:p w14:paraId="7EC19B11">
      <w:pPr>
        <w:snapToGrid w:val="0"/>
        <w:spacing w:line="360" w:lineRule="auto"/>
        <w:ind w:firstLine="56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 w:val="28"/>
          <w:szCs w:val="28"/>
          <w:highlight w:val="none"/>
          <w14:textFill>
            <w14:solidFill>
              <w14:schemeClr w14:val="tx1"/>
            </w14:solidFill>
          </w14:textFill>
        </w:rPr>
        <w:t>五、工程质量保证方式</w:t>
      </w:r>
    </w:p>
    <w:p w14:paraId="17B6BE58">
      <w:pPr>
        <w:snapToGrid w:val="0"/>
        <w:spacing w:line="360" w:lineRule="auto"/>
        <w:ind w:firstLine="42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Cs w:val="21"/>
          <w:highlight w:val="none"/>
          <w14:textFill>
            <w14:solidFill>
              <w14:schemeClr w14:val="tx1"/>
            </w14:solidFill>
          </w14:textFill>
        </w:rPr>
        <w:t>工程质量保证方式可采用以下方式：</w:t>
      </w:r>
    </w:p>
    <w:p w14:paraId="20E28A0C">
      <w:pPr>
        <w:snapToGrid w:val="0"/>
        <w:spacing w:line="360" w:lineRule="auto"/>
        <w:ind w:firstLine="64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 w:val="32"/>
          <w:szCs w:val="32"/>
          <w:highlight w:val="none"/>
          <w14:textFill>
            <w14:solidFill>
              <w14:schemeClr w14:val="tx1"/>
            </w14:solidFill>
          </w14:textFill>
        </w:rPr>
        <w:t>☑</w:t>
      </w:r>
      <w:r>
        <w:rPr>
          <w:color w:val="000000" w:themeColor="text1"/>
          <w:szCs w:val="21"/>
          <w:highlight w:val="none"/>
          <w14:textFill>
            <w14:solidFill>
              <w14:schemeClr w14:val="tx1"/>
            </w14:solidFill>
          </w14:textFill>
        </w:rPr>
        <w:t>质量保证金：</w:t>
      </w:r>
    </w:p>
    <w:p w14:paraId="49C5BC0B">
      <w:pPr>
        <w:snapToGrid w:val="0"/>
        <w:spacing w:line="360" w:lineRule="auto"/>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发包人与承包人约定本工程的质量保证金为工程结算价的</w:t>
      </w:r>
      <w:r>
        <w:rPr>
          <w:rFonts w:hint="eastAsia" w:asciiTheme="minorEastAsia" w:hAnsiTheme="minorEastAsia" w:cstheme="minorEastAsia"/>
          <w:color w:val="000000" w:themeColor="text1"/>
          <w:szCs w:val="21"/>
          <w:highlight w:val="none"/>
          <w:u w:val="single"/>
          <w14:textFill>
            <w14:solidFill>
              <w14:schemeClr w14:val="tx1"/>
            </w14:solidFill>
          </w14:textFill>
        </w:rPr>
        <w:t>3</w:t>
      </w:r>
      <w:r>
        <w:rPr>
          <w:rFonts w:hint="eastAsia" w:asciiTheme="minorEastAsia" w:hAnsiTheme="minorEastAsia" w:cstheme="minorEastAsia"/>
          <w:color w:val="000000" w:themeColor="text1"/>
          <w:szCs w:val="21"/>
          <w:highlight w:val="none"/>
          <w14:textFill>
            <w14:solidFill>
              <w14:schemeClr w14:val="tx1"/>
            </w14:solidFill>
          </w14:textFill>
        </w:rPr>
        <w:t>％，币种：人民币。</w:t>
      </w:r>
    </w:p>
    <w:p w14:paraId="016CCD0D">
      <w:pPr>
        <w:snapToGrid w:val="0"/>
        <w:spacing w:line="360" w:lineRule="auto"/>
        <w:ind w:firstLine="56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 w:val="28"/>
          <w:szCs w:val="28"/>
          <w:highlight w:val="none"/>
          <w14:textFill>
            <w14:solidFill>
              <w14:schemeClr w14:val="tx1"/>
            </w14:solidFill>
          </w14:textFill>
        </w:rPr>
        <w:t>六、质量保证金的支付</w:t>
      </w:r>
    </w:p>
    <w:p w14:paraId="12DDAB26">
      <w:pPr>
        <w:snapToGrid w:val="0"/>
        <w:spacing w:line="360" w:lineRule="auto"/>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采用质量保证金方式时，</w:t>
      </w:r>
      <w:r>
        <w:rPr>
          <w:rFonts w:hint="eastAsia" w:asciiTheme="minorEastAsia" w:hAnsiTheme="minorEastAsia" w:cstheme="minorEastAsia"/>
          <w:color w:val="000000" w:themeColor="text1"/>
          <w:szCs w:val="21"/>
          <w:highlight w:val="none"/>
          <w:u w:val="single"/>
          <w14:textFill>
            <w14:solidFill>
              <w14:schemeClr w14:val="tx1"/>
            </w14:solidFill>
          </w14:textFill>
        </w:rPr>
        <w:t>发包人在工程竣工验收合格满</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5</w:t>
      </w:r>
      <w:r>
        <w:rPr>
          <w:rFonts w:hint="eastAsia" w:asciiTheme="minorEastAsia" w:hAnsiTheme="minorEastAsia" w:cstheme="minorEastAsia"/>
          <w:color w:val="000000" w:themeColor="text1"/>
          <w:szCs w:val="21"/>
          <w:highlight w:val="none"/>
          <w:u w:val="single"/>
          <w14:textFill>
            <w14:solidFill>
              <w14:schemeClr w14:val="tx1"/>
            </w14:solidFill>
          </w14:textFill>
        </w:rPr>
        <w:t>年后，无保修质量问题，无息支付承包人（若有需扣除款项，按照扣除后剩余金额支付），但并不免除承包人在保修期内的保修责任。</w:t>
      </w:r>
    </w:p>
    <w:p w14:paraId="45E6A518">
      <w:pPr>
        <w:snapToGrid w:val="0"/>
        <w:spacing w:line="360" w:lineRule="auto"/>
        <w:ind w:firstLine="420" w:firstLineChars="200"/>
        <w:rPr>
          <w:rFonts w:hint="eastAsia"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如发包人不在约定时限内足额向承包人支付剩余质量保证金和利息的，发包人应从约定应付之日起按每延期一天向承包人支付拖欠款额的万分之</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三</w:t>
      </w:r>
      <w:r>
        <w:rPr>
          <w:rFonts w:hint="eastAsia" w:asciiTheme="minorEastAsia" w:hAnsiTheme="minorEastAsia" w:cstheme="minorEastAsia"/>
          <w:color w:val="000000" w:themeColor="text1"/>
          <w:szCs w:val="21"/>
          <w:highlight w:val="none"/>
          <w14:textFill>
            <w14:solidFill>
              <w14:schemeClr w14:val="tx1"/>
            </w14:solidFill>
          </w14:textFill>
        </w:rPr>
        <w:t>的标准承担违约责任。</w:t>
      </w:r>
    </w:p>
    <w:p w14:paraId="637E76F1">
      <w:pPr>
        <w:snapToGrid w:val="0"/>
        <w:spacing w:line="360" w:lineRule="auto"/>
        <w:ind w:firstLine="56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 w:val="28"/>
          <w:szCs w:val="28"/>
          <w:highlight w:val="none"/>
          <w14:textFill>
            <w14:solidFill>
              <w14:schemeClr w14:val="tx1"/>
            </w14:solidFill>
          </w14:textFill>
        </w:rPr>
        <w:t>七、其他</w:t>
      </w:r>
    </w:p>
    <w:p w14:paraId="76079B54">
      <w:pPr>
        <w:snapToGrid w:val="0"/>
        <w:spacing w:line="360" w:lineRule="auto"/>
        <w:ind w:firstLine="420" w:firstLineChars="200"/>
        <w:rPr>
          <w:rFonts w:hint="eastAsia" w:ascii="微软雅黑" w:hAnsi="微软雅黑"/>
          <w:color w:val="000000" w:themeColor="text1"/>
          <w:sz w:val="22"/>
          <w:highlight w:val="none"/>
          <w14:textFill>
            <w14:solidFill>
              <w14:schemeClr w14:val="tx1"/>
            </w14:solidFill>
          </w14:textFill>
        </w:rPr>
      </w:pPr>
      <w:r>
        <w:rPr>
          <w:color w:val="000000" w:themeColor="text1"/>
          <w:szCs w:val="21"/>
          <w:highlight w:val="none"/>
          <w14:textFill>
            <w14:solidFill>
              <w14:schemeClr w14:val="tx1"/>
            </w14:solidFill>
          </w14:textFill>
        </w:rPr>
        <w:t>发包</w:t>
      </w:r>
      <w:r>
        <w:rPr>
          <w:rFonts w:hint="eastAsia"/>
          <w:color w:val="000000" w:themeColor="text1"/>
          <w:szCs w:val="21"/>
          <w:highlight w:val="none"/>
          <w14:textFill>
            <w14:solidFill>
              <w14:schemeClr w14:val="tx1"/>
            </w14:solidFill>
          </w14:textFill>
        </w:rPr>
        <w:t>人与</w:t>
      </w:r>
      <w:r>
        <w:rPr>
          <w:color w:val="000000" w:themeColor="text1"/>
          <w:szCs w:val="21"/>
          <w:highlight w:val="none"/>
          <w14:textFill>
            <w14:solidFill>
              <w14:schemeClr w14:val="tx1"/>
            </w14:solidFill>
          </w14:textFill>
        </w:rPr>
        <w:t>承包人约定的其他工程质量保修事项：</w:t>
      </w:r>
      <w:r>
        <w:rPr>
          <w:rFonts w:ascii="宋体" w:hAnsi="宋体" w:eastAsia="宋体"/>
          <w:color w:val="000000" w:themeColor="text1"/>
          <w:szCs w:val="21"/>
          <w:highlight w:val="none"/>
          <w:u w:val="singl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w:t>
      </w:r>
    </w:p>
    <w:p w14:paraId="49DE1F02">
      <w:pPr>
        <w:snapToGrid w:val="0"/>
        <w:spacing w:line="360" w:lineRule="auto"/>
        <w:ind w:firstLine="420" w:firstLineChars="200"/>
        <w:rPr>
          <w:rFonts w:hint="eastAsia" w:ascii="微软雅黑" w:hAnsi="微软雅黑" w:eastAsia="微软雅黑"/>
          <w:color w:val="000000" w:themeColor="text1"/>
          <w:sz w:val="22"/>
          <w:highlight w:val="none"/>
          <w14:textFill>
            <w14:solidFill>
              <w14:schemeClr w14:val="tx1"/>
            </w14:solidFill>
          </w14:textFill>
        </w:rPr>
      </w:pPr>
      <w:r>
        <w:rPr>
          <w:color w:val="000000" w:themeColor="text1"/>
          <w:szCs w:val="21"/>
          <w:highlight w:val="none"/>
          <w14:textFill>
            <w14:solidFill>
              <w14:schemeClr w14:val="tx1"/>
            </w14:solidFill>
          </w14:textFill>
        </w:rPr>
        <w:t>本《工程质量保修书》作为施工合同附件由发包人承包人双方共同签署。</w:t>
      </w:r>
    </w:p>
    <w:tbl>
      <w:tblPr>
        <w:tblStyle w:val="38"/>
        <w:tblW w:w="9062" w:type="dxa"/>
        <w:tblInd w:w="0" w:type="dxa"/>
        <w:tblLayout w:type="fixed"/>
        <w:tblCellMar>
          <w:top w:w="0" w:type="dxa"/>
          <w:left w:w="108" w:type="dxa"/>
          <w:bottom w:w="0" w:type="dxa"/>
          <w:right w:w="108" w:type="dxa"/>
        </w:tblCellMar>
      </w:tblPr>
      <w:tblGrid>
        <w:gridCol w:w="4531"/>
        <w:gridCol w:w="4531"/>
      </w:tblGrid>
      <w:tr w14:paraId="518227A1">
        <w:tblPrEx>
          <w:tblCellMar>
            <w:top w:w="0" w:type="dxa"/>
            <w:left w:w="108" w:type="dxa"/>
            <w:bottom w:w="0" w:type="dxa"/>
            <w:right w:w="108" w:type="dxa"/>
          </w:tblCellMar>
        </w:tblPrEx>
        <w:trPr>
          <w:trHeight w:val="745" w:hRule="atLeast"/>
        </w:trPr>
        <w:tc>
          <w:tcPr>
            <w:tcW w:w="4531" w:type="dxa"/>
            <w:vAlign w:val="center"/>
          </w:tcPr>
          <w:p w14:paraId="5A2BED2F">
            <w:pPr>
              <w:snapToGrid w:val="0"/>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发包人（</w:t>
            </w:r>
            <w:r>
              <w:rPr>
                <w:rFonts w:hint="eastAsia"/>
                <w:color w:val="000000" w:themeColor="text1"/>
                <w:szCs w:val="21"/>
                <w:highlight w:val="none"/>
                <w14:textFill>
                  <w14:solidFill>
                    <w14:schemeClr w14:val="tx1"/>
                  </w14:solidFill>
                </w14:textFill>
              </w:rPr>
              <w:t>盖章</w:t>
            </w:r>
            <w:r>
              <w:rPr>
                <w:color w:val="000000" w:themeColor="text1"/>
                <w:szCs w:val="21"/>
                <w:highlight w:val="none"/>
                <w14:textFill>
                  <w14:solidFill>
                    <w14:schemeClr w14:val="tx1"/>
                  </w14:solidFill>
                </w14:textFill>
              </w:rPr>
              <w:t>）：</w:t>
            </w:r>
          </w:p>
        </w:tc>
        <w:tc>
          <w:tcPr>
            <w:tcW w:w="4531" w:type="dxa"/>
            <w:vAlign w:val="center"/>
          </w:tcPr>
          <w:p w14:paraId="475A9AE2">
            <w:pPr>
              <w:snapToGrid w:val="0"/>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承包人（</w:t>
            </w:r>
            <w:r>
              <w:rPr>
                <w:rFonts w:hint="eastAsia"/>
                <w:color w:val="000000" w:themeColor="text1"/>
                <w:szCs w:val="21"/>
                <w:highlight w:val="none"/>
                <w14:textFill>
                  <w14:solidFill>
                    <w14:schemeClr w14:val="tx1"/>
                  </w14:solidFill>
                </w14:textFill>
              </w:rPr>
              <w:t>盖章</w:t>
            </w:r>
            <w:r>
              <w:rPr>
                <w:color w:val="000000" w:themeColor="text1"/>
                <w:szCs w:val="21"/>
                <w:highlight w:val="none"/>
                <w14:textFill>
                  <w14:solidFill>
                    <w14:schemeClr w14:val="tx1"/>
                  </w14:solidFill>
                </w14:textFill>
              </w:rPr>
              <w:t>）：</w:t>
            </w:r>
          </w:p>
        </w:tc>
      </w:tr>
      <w:tr w14:paraId="362A6AD3">
        <w:tblPrEx>
          <w:tblCellMar>
            <w:top w:w="0" w:type="dxa"/>
            <w:left w:w="108" w:type="dxa"/>
            <w:bottom w:w="0" w:type="dxa"/>
            <w:right w:w="108" w:type="dxa"/>
          </w:tblCellMar>
        </w:tblPrEx>
        <w:trPr>
          <w:trHeight w:val="609" w:hRule="atLeast"/>
        </w:trPr>
        <w:tc>
          <w:tcPr>
            <w:tcW w:w="4531" w:type="dxa"/>
            <w:vAlign w:val="center"/>
          </w:tcPr>
          <w:p w14:paraId="206791B9">
            <w:pPr>
              <w:snapToGrid w:val="0"/>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法定代表人（签章）：</w:t>
            </w:r>
          </w:p>
        </w:tc>
        <w:tc>
          <w:tcPr>
            <w:tcW w:w="4531" w:type="dxa"/>
            <w:vAlign w:val="center"/>
          </w:tcPr>
          <w:p w14:paraId="73862582">
            <w:pPr>
              <w:snapToGrid w:val="0"/>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法定代表人（签章）：</w:t>
            </w:r>
          </w:p>
        </w:tc>
      </w:tr>
      <w:tr w14:paraId="6CAA59DA">
        <w:tblPrEx>
          <w:tblCellMar>
            <w:top w:w="0" w:type="dxa"/>
            <w:left w:w="108" w:type="dxa"/>
            <w:bottom w:w="0" w:type="dxa"/>
            <w:right w:w="108" w:type="dxa"/>
          </w:tblCellMar>
        </w:tblPrEx>
        <w:trPr>
          <w:trHeight w:val="615" w:hRule="atLeast"/>
        </w:trPr>
        <w:tc>
          <w:tcPr>
            <w:tcW w:w="4531" w:type="dxa"/>
            <w:vAlign w:val="center"/>
          </w:tcPr>
          <w:p w14:paraId="57873F03">
            <w:pPr>
              <w:snapToGrid w:val="0"/>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日期：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年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月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tc>
        <w:tc>
          <w:tcPr>
            <w:tcW w:w="4531" w:type="dxa"/>
            <w:vAlign w:val="center"/>
          </w:tcPr>
          <w:p w14:paraId="37561522">
            <w:pPr>
              <w:snapToGrid w:val="0"/>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日期：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年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月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tc>
      </w:tr>
    </w:tbl>
    <w:p w14:paraId="778881BA">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5F55D348">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7D9D3596">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6203DAC4">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08FCB625">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49415483">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1F443C75">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40901FFB">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59A3FAA4">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5BCD7F89">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7A302D79">
      <w:pPr>
        <w:topLinePunct/>
        <w:adjustRightInd w:val="0"/>
        <w:snapToGrid w:val="0"/>
        <w:spacing w:line="360" w:lineRule="auto"/>
        <w:ind w:firstLine="420" w:firstLineChars="200"/>
        <w:rPr>
          <w:color w:val="000000" w:themeColor="text1"/>
          <w:szCs w:val="21"/>
          <w:highlight w:val="none"/>
          <w:u w:val="single"/>
          <w14:textFill>
            <w14:solidFill>
              <w14:schemeClr w14:val="tx1"/>
            </w14:solidFill>
          </w14:textFill>
        </w:rPr>
      </w:pPr>
    </w:p>
    <w:p w14:paraId="150A3BAF">
      <w:pPr>
        <w:snapToGrid w:val="0"/>
        <w:spacing w:line="360" w:lineRule="auto"/>
        <w:rPr>
          <w:color w:val="000000" w:themeColor="text1"/>
          <w:highlight w:val="none"/>
          <w14:textFill>
            <w14:solidFill>
              <w14:schemeClr w14:val="tx1"/>
            </w14:solidFill>
          </w14:textFill>
        </w:rPr>
      </w:pPr>
    </w:p>
    <w:p w14:paraId="1BAFA394">
      <w:pPr>
        <w:snapToGrid w:val="0"/>
        <w:spacing w:line="360" w:lineRule="auto"/>
        <w:rPr>
          <w:rFonts w:hint="eastAsia"/>
          <w:b/>
          <w:bCs/>
          <w:color w:val="000000" w:themeColor="text1"/>
          <w:sz w:val="28"/>
          <w:szCs w:val="28"/>
          <w:highlight w:val="none"/>
          <w14:textFill>
            <w14:solidFill>
              <w14:schemeClr w14:val="tx1"/>
            </w14:solidFill>
          </w14:textFill>
        </w:rPr>
      </w:pPr>
      <w:r>
        <w:rPr>
          <w:b/>
          <w:bCs/>
          <w:color w:val="000000" w:themeColor="text1"/>
          <w:highlight w:val="none"/>
          <w14:textFill>
            <w14:solidFill>
              <w14:schemeClr w14:val="tx1"/>
            </w14:solidFill>
          </w14:textFill>
        </w:rPr>
        <w:t>合同附件</w:t>
      </w:r>
      <w:r>
        <w:rPr>
          <w:rFonts w:hint="eastAsia"/>
          <w:b/>
          <w:bCs/>
          <w:color w:val="000000" w:themeColor="text1"/>
          <w:highlight w:val="none"/>
          <w14:textFill>
            <w14:solidFill>
              <w14:schemeClr w14:val="tx1"/>
            </w14:solidFill>
          </w14:textFill>
        </w:rPr>
        <w:t>二：</w:t>
      </w:r>
      <w:r>
        <w:rPr>
          <w:rFonts w:hint="eastAsia"/>
          <w:b/>
          <w:bCs/>
          <w:color w:val="000000" w:themeColor="text1"/>
          <w:sz w:val="28"/>
          <w:szCs w:val="28"/>
          <w:highlight w:val="none"/>
          <w14:textFill>
            <w14:solidFill>
              <w14:schemeClr w14:val="tx1"/>
            </w14:solidFill>
          </w14:textFill>
        </w:rPr>
        <w:t>主要材料设备参考品牌表</w:t>
      </w:r>
    </w:p>
    <w:p w14:paraId="5C29237F">
      <w:pPr>
        <w:snapToGrid w:val="0"/>
        <w:spacing w:line="360" w:lineRule="auto"/>
        <w:rPr>
          <w:rFonts w:hint="eastAsia"/>
          <w:b/>
          <w:bCs/>
          <w:color w:val="000000" w:themeColor="text1"/>
          <w:sz w:val="28"/>
          <w:szCs w:val="28"/>
          <w:highlight w:val="none"/>
          <w14:textFill>
            <w14:solidFill>
              <w14:schemeClr w14:val="tx1"/>
            </w14:solidFill>
          </w14:textFill>
        </w:rPr>
      </w:pPr>
    </w:p>
    <w:bookmarkEnd w:id="1"/>
    <w:p w14:paraId="5E8AA95A">
      <w:pPr>
        <w:pStyle w:val="64"/>
        <w:numPr>
          <w:ilvl w:val="0"/>
          <w:numId w:val="19"/>
        </w:numPr>
        <w:snapToGrid w:val="0"/>
        <w:spacing w:line="240" w:lineRule="atLeast"/>
        <w:ind w:firstLine="1084" w:firstLineChars="300"/>
        <w:jc w:val="center"/>
        <w:rPr>
          <w:rFonts w:hint="eastAsia"/>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暖通空调类材料设备参考品牌名单</w:t>
      </w:r>
    </w:p>
    <w:tbl>
      <w:tblPr>
        <w:tblStyle w:val="38"/>
        <w:tblpPr w:leftFromText="180" w:rightFromText="180" w:vertAnchor="text" w:tblpXSpec="center" w:tblpY="1"/>
        <w:tblOverlap w:val="never"/>
        <w:tblW w:w="900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81"/>
        <w:gridCol w:w="4720"/>
      </w:tblGrid>
      <w:tr w14:paraId="3BBC5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281" w:type="dxa"/>
            <w:tcBorders>
              <w:top w:val="outset" w:color="auto" w:sz="6" w:space="0"/>
              <w:left w:val="outset" w:color="auto" w:sz="6" w:space="0"/>
              <w:bottom w:val="outset" w:color="auto" w:sz="6" w:space="0"/>
              <w:right w:val="outset" w:color="auto" w:sz="6" w:space="0"/>
            </w:tcBorders>
            <w:vAlign w:val="center"/>
          </w:tcPr>
          <w:p w14:paraId="3DD539D2">
            <w:pPr>
              <w:pStyle w:val="64"/>
              <w:spacing w:line="240" w:lineRule="atLeas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材料设备品种</w:t>
            </w:r>
          </w:p>
        </w:tc>
        <w:tc>
          <w:tcPr>
            <w:tcW w:w="4720" w:type="dxa"/>
            <w:tcBorders>
              <w:top w:val="outset" w:color="auto" w:sz="6" w:space="0"/>
              <w:left w:val="outset" w:color="auto" w:sz="6" w:space="0"/>
              <w:bottom w:val="outset" w:color="auto" w:sz="6" w:space="0"/>
              <w:right w:val="outset" w:color="auto" w:sz="6" w:space="0"/>
            </w:tcBorders>
            <w:vAlign w:val="center"/>
          </w:tcPr>
          <w:p w14:paraId="248CE30C">
            <w:pPr>
              <w:pStyle w:val="64"/>
              <w:spacing w:line="240" w:lineRule="atLeas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参考品牌</w:t>
            </w:r>
          </w:p>
        </w:tc>
      </w:tr>
      <w:tr w14:paraId="71D056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281" w:type="dxa"/>
            <w:tcBorders>
              <w:top w:val="outset" w:color="auto" w:sz="6" w:space="0"/>
              <w:left w:val="outset" w:color="auto" w:sz="6" w:space="0"/>
              <w:right w:val="outset" w:color="auto" w:sz="6" w:space="0"/>
            </w:tcBorders>
            <w:vAlign w:val="center"/>
          </w:tcPr>
          <w:p w14:paraId="0402D78D">
            <w:pPr>
              <w:pStyle w:val="64"/>
              <w:spacing w:line="240" w:lineRule="atLeast"/>
              <w:jc w:val="both"/>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分体空调</w:t>
            </w:r>
          </w:p>
        </w:tc>
        <w:tc>
          <w:tcPr>
            <w:tcW w:w="4720" w:type="dxa"/>
            <w:tcBorders>
              <w:top w:val="outset" w:color="auto" w:sz="6" w:space="0"/>
              <w:left w:val="outset" w:color="auto" w:sz="6" w:space="0"/>
              <w:bottom w:val="outset" w:color="auto" w:sz="6" w:space="0"/>
              <w:right w:val="outset" w:color="auto" w:sz="6" w:space="0"/>
            </w:tcBorders>
            <w:vAlign w:val="center"/>
          </w:tcPr>
          <w:p w14:paraId="6B75721B">
            <w:pPr>
              <w:pStyle w:val="64"/>
              <w:jc w:val="both"/>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格力、美的、</w:t>
            </w:r>
            <w:r>
              <w:rPr>
                <w:rFonts w:hint="eastAsia"/>
                <w:strike w:val="0"/>
                <w:color w:val="000000" w:themeColor="text1"/>
                <w:szCs w:val="21"/>
                <w:highlight w:val="none"/>
                <w:lang w:val="en-US" w:eastAsia="zh-CN"/>
                <w14:textFill>
                  <w14:solidFill>
                    <w14:schemeClr w14:val="tx1"/>
                  </w14:solidFill>
                </w14:textFill>
              </w:rPr>
              <w:t>小米</w:t>
            </w:r>
          </w:p>
        </w:tc>
      </w:tr>
      <w:tr w14:paraId="6AE577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281" w:type="dxa"/>
            <w:tcBorders>
              <w:top w:val="outset" w:color="auto" w:sz="6" w:space="0"/>
              <w:left w:val="outset" w:color="auto" w:sz="6" w:space="0"/>
              <w:bottom w:val="outset" w:color="auto" w:sz="6" w:space="0"/>
              <w:right w:val="outset" w:color="auto" w:sz="6" w:space="0"/>
            </w:tcBorders>
            <w:vAlign w:val="center"/>
          </w:tcPr>
          <w:p w14:paraId="7DAD8B4E">
            <w:pPr>
              <w:pStyle w:val="64"/>
              <w:spacing w:line="240" w:lineRule="atLeast"/>
              <w:jc w:val="both"/>
              <w:rPr>
                <w:strike w:val="0"/>
                <w:color w:val="000000" w:themeColor="text1"/>
                <w:szCs w:val="21"/>
                <w:highlight w:val="none"/>
                <w14:textFill>
                  <w14:solidFill>
                    <w14:schemeClr w14:val="tx1"/>
                  </w14:solidFill>
                </w14:textFill>
              </w:rPr>
            </w:pPr>
            <w:r>
              <w:rPr>
                <w:rFonts w:hint="eastAsia"/>
                <w:strike w:val="0"/>
                <w:color w:val="000000" w:themeColor="text1"/>
                <w:szCs w:val="21"/>
                <w:highlight w:val="none"/>
                <w:lang w:val="en-US" w:eastAsia="zh-CN"/>
                <w14:textFill>
                  <w14:solidFill>
                    <w14:schemeClr w14:val="tx1"/>
                  </w14:solidFill>
                </w14:textFill>
              </w:rPr>
              <w:t>排气扇</w:t>
            </w:r>
          </w:p>
        </w:tc>
        <w:tc>
          <w:tcPr>
            <w:tcW w:w="4720" w:type="dxa"/>
            <w:tcBorders>
              <w:top w:val="outset" w:color="auto" w:sz="6" w:space="0"/>
              <w:left w:val="outset" w:color="auto" w:sz="6" w:space="0"/>
              <w:bottom w:val="outset" w:color="auto" w:sz="6" w:space="0"/>
              <w:right w:val="outset" w:color="auto" w:sz="6" w:space="0"/>
            </w:tcBorders>
            <w:vAlign w:val="center"/>
          </w:tcPr>
          <w:p w14:paraId="52940ECB">
            <w:pPr>
              <w:pStyle w:val="64"/>
              <w:jc w:val="both"/>
              <w:rPr>
                <w:strike w:val="0"/>
                <w:color w:val="000000" w:themeColor="text1"/>
                <w:szCs w:val="21"/>
                <w:highlight w:val="none"/>
                <w14:textFill>
                  <w14:solidFill>
                    <w14:schemeClr w14:val="tx1"/>
                  </w14:solidFill>
                </w14:textFill>
              </w:rPr>
            </w:pPr>
            <w:r>
              <w:rPr>
                <w:rFonts w:hint="eastAsia"/>
                <w:strike w:val="0"/>
                <w:color w:val="000000" w:themeColor="text1"/>
                <w:szCs w:val="21"/>
                <w:highlight w:val="none"/>
                <w:lang w:val="en-US" w:eastAsia="zh-CN"/>
                <w14:textFill>
                  <w14:solidFill>
                    <w14:schemeClr w14:val="tx1"/>
                  </w14:solidFill>
                </w14:textFill>
              </w:rPr>
              <w:t>绿岛风、正野、松下</w:t>
            </w:r>
          </w:p>
        </w:tc>
      </w:tr>
    </w:tbl>
    <w:p w14:paraId="37E9ADD1">
      <w:pPr>
        <w:pStyle w:val="64"/>
        <w:rPr>
          <w:rFonts w:ascii="仿宋_GB2312" w:eastAsia="仿宋_GB2312"/>
          <w:b/>
          <w:color w:val="000000" w:themeColor="text1"/>
          <w:sz w:val="28"/>
          <w:szCs w:val="28"/>
          <w:highlight w:val="none"/>
          <w14:textFill>
            <w14:solidFill>
              <w14:schemeClr w14:val="tx1"/>
            </w14:solidFill>
          </w14:textFill>
        </w:rPr>
      </w:pPr>
    </w:p>
    <w:p w14:paraId="480F0BFA">
      <w:pPr>
        <w:jc w:val="center"/>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2.建筑装饰类材料参考品牌名单</w:t>
      </w:r>
    </w:p>
    <w:tbl>
      <w:tblPr>
        <w:tblStyle w:val="38"/>
        <w:tblpPr w:leftFromText="180" w:rightFromText="180" w:vertAnchor="text" w:tblpXSpec="center" w:tblpY="1"/>
        <w:tblOverlap w:val="never"/>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7"/>
        <w:gridCol w:w="5118"/>
      </w:tblGrid>
      <w:tr w14:paraId="05FC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7" w:type="dxa"/>
            <w:tcMar>
              <w:top w:w="0" w:type="dxa"/>
              <w:left w:w="108" w:type="dxa"/>
              <w:bottom w:w="0" w:type="dxa"/>
              <w:right w:w="108" w:type="dxa"/>
            </w:tcMar>
            <w:vAlign w:val="center"/>
          </w:tcPr>
          <w:p w14:paraId="72D980B6">
            <w:pPr>
              <w:pStyle w:val="64"/>
              <w:adjustRightInd w:val="0"/>
              <w:snapToGrid w:val="0"/>
              <w:jc w:val="center"/>
              <w:rPr>
                <w:rFonts w:hint="eastAsia" w:cs="Times New Roman" w:asciiTheme="minorEastAsia" w:hAnsiTheme="minorEastAsia"/>
                <w:b/>
                <w:bCs/>
                <w:color w:val="000000" w:themeColor="text1"/>
                <w:szCs w:val="21"/>
                <w:highlight w:val="none"/>
                <w14:textFill>
                  <w14:solidFill>
                    <w14:schemeClr w14:val="tx1"/>
                  </w14:solidFill>
                </w14:textFill>
              </w:rPr>
            </w:pPr>
            <w:r>
              <w:rPr>
                <w:rFonts w:hint="eastAsia" w:cs="Times New Roman" w:asciiTheme="minorEastAsia" w:hAnsiTheme="minorEastAsia"/>
                <w:b/>
                <w:bCs/>
                <w:color w:val="000000" w:themeColor="text1"/>
                <w:szCs w:val="21"/>
                <w:highlight w:val="none"/>
                <w14:textFill>
                  <w14:solidFill>
                    <w14:schemeClr w14:val="tx1"/>
                  </w14:solidFill>
                </w14:textFill>
              </w:rPr>
              <w:t>材料品种</w:t>
            </w:r>
          </w:p>
        </w:tc>
        <w:tc>
          <w:tcPr>
            <w:tcW w:w="5118" w:type="dxa"/>
            <w:tcMar>
              <w:top w:w="0" w:type="dxa"/>
              <w:left w:w="108" w:type="dxa"/>
              <w:bottom w:w="0" w:type="dxa"/>
              <w:right w:w="108" w:type="dxa"/>
            </w:tcMar>
            <w:vAlign w:val="center"/>
          </w:tcPr>
          <w:p w14:paraId="619D5740">
            <w:pPr>
              <w:pStyle w:val="64"/>
              <w:adjustRightInd w:val="0"/>
              <w:snapToGrid w:val="0"/>
              <w:jc w:val="center"/>
              <w:rPr>
                <w:rFonts w:hint="eastAsia" w:cs="Times New Roman" w:asciiTheme="minorEastAsia" w:hAnsiTheme="minorEastAsia"/>
                <w:b/>
                <w:bCs/>
                <w:color w:val="000000" w:themeColor="text1"/>
                <w:szCs w:val="21"/>
                <w:highlight w:val="none"/>
                <w14:textFill>
                  <w14:solidFill>
                    <w14:schemeClr w14:val="tx1"/>
                  </w14:solidFill>
                </w14:textFill>
              </w:rPr>
            </w:pPr>
            <w:r>
              <w:rPr>
                <w:rFonts w:hint="eastAsia" w:cs="Times New Roman" w:asciiTheme="minorEastAsia" w:hAnsiTheme="minorEastAsia"/>
                <w:b/>
                <w:bCs/>
                <w:color w:val="000000" w:themeColor="text1"/>
                <w:szCs w:val="21"/>
                <w:highlight w:val="none"/>
                <w14:textFill>
                  <w14:solidFill>
                    <w14:schemeClr w14:val="tx1"/>
                  </w14:solidFill>
                </w14:textFill>
              </w:rPr>
              <w:t>参考品牌</w:t>
            </w:r>
          </w:p>
        </w:tc>
      </w:tr>
      <w:tr w14:paraId="10C4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417" w:type="dxa"/>
            <w:tcMar>
              <w:top w:w="0" w:type="dxa"/>
              <w:left w:w="108" w:type="dxa"/>
              <w:bottom w:w="0" w:type="dxa"/>
              <w:right w:w="108" w:type="dxa"/>
            </w:tcMar>
            <w:vAlign w:val="center"/>
          </w:tcPr>
          <w:p w14:paraId="0E889F45">
            <w:pPr>
              <w:pStyle w:val="64"/>
              <w:spacing w:line="240" w:lineRule="atLeast"/>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涂料</w:t>
            </w:r>
          </w:p>
        </w:tc>
        <w:tc>
          <w:tcPr>
            <w:tcW w:w="5118" w:type="dxa"/>
            <w:tcMar>
              <w:top w:w="0" w:type="dxa"/>
              <w:left w:w="108" w:type="dxa"/>
              <w:bottom w:w="0" w:type="dxa"/>
              <w:right w:w="108" w:type="dxa"/>
            </w:tcMar>
            <w:vAlign w:val="center"/>
          </w:tcPr>
          <w:p w14:paraId="63A58F02">
            <w:pPr>
              <w:pStyle w:val="64"/>
              <w:spacing w:line="240" w:lineRule="atLeast"/>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多乐士、嘉宝莉、立邦</w:t>
            </w:r>
          </w:p>
        </w:tc>
      </w:tr>
      <w:tr w14:paraId="2046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6FC353AC">
            <w:pPr>
              <w:pStyle w:val="64"/>
              <w:adjustRightInd w:val="0"/>
              <w:snapToGrid w:val="0"/>
              <w:jc w:val="both"/>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地弹簧</w:t>
            </w:r>
          </w:p>
        </w:tc>
        <w:tc>
          <w:tcPr>
            <w:tcW w:w="5118" w:type="dxa"/>
            <w:vAlign w:val="center"/>
          </w:tcPr>
          <w:p w14:paraId="057E7E34">
            <w:pPr>
              <w:pStyle w:val="64"/>
              <w:adjustRightInd w:val="0"/>
              <w:snapToGrid w:val="0"/>
              <w:jc w:val="both"/>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盖泽、多玛、坚朗</w:t>
            </w:r>
          </w:p>
        </w:tc>
      </w:tr>
      <w:tr w14:paraId="1368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3A7CB2F8">
            <w:pPr>
              <w:pStyle w:val="64"/>
              <w:adjustRightInd w:val="0"/>
              <w:snapToGrid w:val="0"/>
              <w:jc w:val="both"/>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闭门器</w:t>
            </w:r>
          </w:p>
        </w:tc>
        <w:tc>
          <w:tcPr>
            <w:tcW w:w="5118" w:type="dxa"/>
            <w:vAlign w:val="center"/>
          </w:tcPr>
          <w:p w14:paraId="7FE1FABC">
            <w:pPr>
              <w:pStyle w:val="64"/>
              <w:adjustRightInd w:val="0"/>
              <w:snapToGrid w:val="0"/>
              <w:jc w:val="both"/>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盖泽、多玛、坚朗</w:t>
            </w:r>
          </w:p>
        </w:tc>
      </w:tr>
      <w:tr w14:paraId="06AA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28D01A37">
            <w:pPr>
              <w:pStyle w:val="64"/>
              <w:adjustRightInd w:val="0"/>
              <w:snapToGrid w:val="0"/>
              <w:jc w:val="both"/>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五金</w:t>
            </w:r>
          </w:p>
        </w:tc>
        <w:tc>
          <w:tcPr>
            <w:tcW w:w="5118" w:type="dxa"/>
            <w:vAlign w:val="center"/>
          </w:tcPr>
          <w:p w14:paraId="4D0242A7">
            <w:pPr>
              <w:pStyle w:val="64"/>
              <w:adjustRightInd w:val="0"/>
              <w:snapToGrid w:val="0"/>
              <w:jc w:val="both"/>
              <w:rPr>
                <w:rFonts w:cs="Times New Roman" w:asciiTheme="minorEastAsia" w:hAnsiTheme="minorEastAsia"/>
                <w:color w:val="000000" w:themeColor="text1"/>
                <w:szCs w:val="21"/>
                <w:highlight w:val="none"/>
                <w14:textFill>
                  <w14:solidFill>
                    <w14:schemeClr w14:val="tx1"/>
                  </w14:solidFill>
                </w14:textFill>
              </w:rPr>
            </w:pPr>
            <w:r>
              <w:rPr>
                <w:rFonts w:hint="eastAsia" w:cs="Times New Roman" w:asciiTheme="minorEastAsia" w:hAnsiTheme="minorEastAsia"/>
                <w:color w:val="000000" w:themeColor="text1"/>
                <w:szCs w:val="21"/>
                <w:highlight w:val="none"/>
                <w14:textFill>
                  <w14:solidFill>
                    <w14:schemeClr w14:val="tx1"/>
                  </w14:solidFill>
                </w14:textFill>
              </w:rPr>
              <w:t>多玛、坚朗、合和</w:t>
            </w:r>
          </w:p>
        </w:tc>
      </w:tr>
      <w:tr w14:paraId="2AF6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0783E493">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硅钙板天花</w:t>
            </w:r>
          </w:p>
        </w:tc>
        <w:tc>
          <w:tcPr>
            <w:tcW w:w="5118" w:type="dxa"/>
            <w:vAlign w:val="center"/>
          </w:tcPr>
          <w:p w14:paraId="4C454351">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美穗、云中龙、绿意雅</w:t>
            </w:r>
          </w:p>
        </w:tc>
      </w:tr>
      <w:tr w14:paraId="733F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37E82ECD">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石膏板</w:t>
            </w:r>
          </w:p>
        </w:tc>
        <w:tc>
          <w:tcPr>
            <w:tcW w:w="5118" w:type="dxa"/>
            <w:vAlign w:val="center"/>
          </w:tcPr>
          <w:p w14:paraId="26864CED">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杰森、可耐福、北新龙牌</w:t>
            </w:r>
          </w:p>
        </w:tc>
      </w:tr>
      <w:tr w14:paraId="3A9F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73EE09D6">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铝板天花</w:t>
            </w:r>
          </w:p>
        </w:tc>
        <w:tc>
          <w:tcPr>
            <w:tcW w:w="5118" w:type="dxa"/>
            <w:vAlign w:val="center"/>
          </w:tcPr>
          <w:p w14:paraId="5D5D5F74">
            <w:pPr>
              <w:pStyle w:val="64"/>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乐思龙、至高</w:t>
            </w:r>
            <w:r>
              <w:rPr>
                <w:rFonts w:asciiTheme="minorEastAsia" w:hAnsiTheme="minorEastAsia"/>
                <w:color w:val="000000" w:themeColor="text1"/>
                <w:szCs w:val="21"/>
                <w:highlight w:val="none"/>
                <w14:textFill>
                  <w14:solidFill>
                    <w14:schemeClr w14:val="tx1"/>
                  </w14:solidFill>
                </w14:textFill>
              </w:rPr>
              <w:t>®</w:t>
            </w:r>
            <w:r>
              <w:rPr>
                <w:rFonts w:hint="eastAsia" w:asciiTheme="minorEastAsia" w:hAnsiTheme="minorEastAsia"/>
                <w:color w:val="000000" w:themeColor="text1"/>
                <w:szCs w:val="21"/>
                <w:highlight w:val="none"/>
                <w14:textFill>
                  <w14:solidFill>
                    <w14:schemeClr w14:val="tx1"/>
                  </w14:solidFill>
                </w14:textFill>
              </w:rPr>
              <w:t>、拓普泰德、金霸</w:t>
            </w:r>
            <w:r>
              <w:rPr>
                <w:rFonts w:asciiTheme="minorEastAsia" w:hAnsiTheme="minorEastAsia"/>
                <w:color w:val="000000" w:themeColor="text1"/>
                <w:szCs w:val="21"/>
                <w:highlight w:val="none"/>
                <w14:textFill>
                  <w14:solidFill>
                    <w14:schemeClr w14:val="tx1"/>
                  </w14:solidFill>
                </w14:textFill>
              </w:rPr>
              <w:t>Gks</w:t>
            </w:r>
          </w:p>
          <w:p w14:paraId="5BE4F936">
            <w:pPr>
              <w:pStyle w:val="64"/>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迪高</w:t>
            </w:r>
            <w:r>
              <w:rPr>
                <w:rFonts w:asciiTheme="minorEastAsia" w:hAnsiTheme="minorEastAsia"/>
                <w:color w:val="000000" w:themeColor="text1"/>
                <w:szCs w:val="21"/>
                <w:highlight w:val="none"/>
                <w14:textFill>
                  <w14:solidFill>
                    <w14:schemeClr w14:val="tx1"/>
                  </w14:solidFill>
                </w14:textFill>
              </w:rPr>
              <w:t>Deko</w:t>
            </w:r>
            <w:r>
              <w:rPr>
                <w:rFonts w:hint="eastAsia" w:asciiTheme="minorEastAsia" w:hAnsiTheme="minorEastAsia"/>
                <w:color w:val="000000" w:themeColor="text1"/>
                <w:szCs w:val="21"/>
                <w:highlight w:val="none"/>
                <w14:textFill>
                  <w14:solidFill>
                    <w14:schemeClr w14:val="tx1"/>
                  </w14:solidFill>
                </w14:textFill>
              </w:rPr>
              <w:t>、洛科丰</w:t>
            </w:r>
            <w:r>
              <w:rPr>
                <w:rFonts w:hint="eastAsia" w:asciiTheme="minorEastAsia" w:hAnsiTheme="minorEastAsia"/>
                <w:color w:val="000000" w:themeColor="text1"/>
                <w:szCs w:val="21"/>
                <w:highlight w:val="none"/>
                <w:vertAlign w:val="superscript"/>
                <w14:textFill>
                  <w14:solidFill>
                    <w14:schemeClr w14:val="tx1"/>
                  </w14:solidFill>
                </w14:textFill>
              </w:rPr>
              <w:t>TM</w:t>
            </w:r>
          </w:p>
          <w:p w14:paraId="12631845">
            <w:pPr>
              <w:pStyle w:val="64"/>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伟泰WEITAI</w:t>
            </w:r>
          </w:p>
        </w:tc>
      </w:tr>
      <w:tr w14:paraId="76D4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5C50F967">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建筑用铝单板</w:t>
            </w:r>
          </w:p>
        </w:tc>
        <w:tc>
          <w:tcPr>
            <w:tcW w:w="5118" w:type="dxa"/>
            <w:vAlign w:val="center"/>
          </w:tcPr>
          <w:p w14:paraId="36A4112B">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乐思龙</w:t>
            </w:r>
            <w:r>
              <w:rPr>
                <w:rFonts w:hint="eastAsia" w:asciiTheme="minorEastAsia" w:hAnsiTheme="minorEastAsia"/>
                <w:color w:val="000000" w:themeColor="text1"/>
                <w:szCs w:val="21"/>
                <w:highlight w:val="none"/>
                <w14:textFill>
                  <w14:solidFill>
                    <w14:schemeClr w14:val="tx1"/>
                  </w14:solidFill>
                </w14:textFill>
              </w:rPr>
              <w:t>、</w:t>
            </w:r>
            <w:r>
              <w:rPr>
                <w:rFonts w:hint="eastAsia" w:cs="Times New Roman"/>
                <w:color w:val="000000" w:themeColor="text1"/>
                <w:szCs w:val="21"/>
                <w:highlight w:val="none"/>
                <w14:textFill>
                  <w14:solidFill>
                    <w14:schemeClr w14:val="tx1"/>
                  </w14:solidFill>
                </w14:textFill>
              </w:rPr>
              <w:t>美伦、华途什、雷诺丽特、敏思朗</w:t>
            </w:r>
          </w:p>
        </w:tc>
      </w:tr>
      <w:tr w14:paraId="1721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50B00041">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橡胶地板（均质卷材）</w:t>
            </w:r>
          </w:p>
        </w:tc>
        <w:tc>
          <w:tcPr>
            <w:tcW w:w="5118" w:type="dxa"/>
            <w:vAlign w:val="center"/>
          </w:tcPr>
          <w:p w14:paraId="4D2AA39A">
            <w:pPr>
              <w:pStyle w:val="64"/>
              <w:jc w:val="both"/>
              <w:rPr>
                <w:rFonts w:hint="default" w:eastAsia="宋体" w:asciiTheme="minorEastAsia" w:hAnsi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德国诺拉Nora、意大利盟多Mondo、意大利Artigo</w:t>
            </w:r>
            <w:r>
              <w:rPr>
                <w:rFonts w:hint="eastAsia" w:asciiTheme="minorEastAsia" w:hAnsiTheme="minorEastAsia"/>
                <w:color w:val="000000" w:themeColor="text1"/>
                <w:szCs w:val="21"/>
                <w:highlight w:val="none"/>
                <w:lang w:eastAsia="zh-CN"/>
                <w14:textFill>
                  <w14:solidFill>
                    <w14:schemeClr w14:val="tx1"/>
                  </w14:solidFill>
                </w14:textFill>
              </w:rPr>
              <w:t>、</w:t>
            </w:r>
            <w:r>
              <w:rPr>
                <w:rFonts w:hint="eastAsia" w:asciiTheme="minorEastAsia" w:hAnsiTheme="minorEastAsia"/>
                <w:color w:val="000000" w:themeColor="text1"/>
                <w:szCs w:val="21"/>
                <w:highlight w:val="none"/>
                <w:lang w:val="en-US" w:eastAsia="zh-CN"/>
                <w14:textFill>
                  <w14:solidFill>
                    <w14:schemeClr w14:val="tx1"/>
                  </w14:solidFill>
                </w14:textFill>
              </w:rPr>
              <w:t>圣象</w:t>
            </w:r>
          </w:p>
        </w:tc>
      </w:tr>
      <w:tr w14:paraId="34F2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0CEC511D">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硅酮密封胶</w:t>
            </w:r>
          </w:p>
        </w:tc>
        <w:tc>
          <w:tcPr>
            <w:tcW w:w="5118" w:type="dxa"/>
            <w:vAlign w:val="center"/>
          </w:tcPr>
          <w:p w14:paraId="4FF3B5E0">
            <w:pPr>
              <w:pStyle w:val="64"/>
              <w:jc w:val="both"/>
              <w:rPr>
                <w:rFonts w:hint="eastAsia" w:eastAsia="宋体" w:asciiTheme="minorEastAsia" w:hAnsiTheme="minorEastAsia"/>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成都硅宝、白云、金鼠</w:t>
            </w:r>
          </w:p>
        </w:tc>
      </w:tr>
      <w:tr w14:paraId="6018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446CA6B0">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内墙涂料</w:t>
            </w:r>
          </w:p>
        </w:tc>
        <w:tc>
          <w:tcPr>
            <w:tcW w:w="5118" w:type="dxa"/>
            <w:vAlign w:val="center"/>
          </w:tcPr>
          <w:p w14:paraId="008BD0D4">
            <w:pPr>
              <w:pStyle w:val="64"/>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多乐士、立邦、三棵树</w:t>
            </w:r>
          </w:p>
        </w:tc>
      </w:tr>
      <w:tr w14:paraId="1DF1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5AE029AB">
            <w:pPr>
              <w:pStyle w:val="64"/>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墙、地砖</w:t>
            </w:r>
          </w:p>
        </w:tc>
        <w:tc>
          <w:tcPr>
            <w:tcW w:w="5118" w:type="dxa"/>
            <w:vAlign w:val="center"/>
          </w:tcPr>
          <w:p w14:paraId="42799A64">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东鹏、冠珠、马可波罗、萨米特</w:t>
            </w:r>
          </w:p>
        </w:tc>
      </w:tr>
      <w:tr w14:paraId="131A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7" w:type="dxa"/>
            <w:vAlign w:val="center"/>
          </w:tcPr>
          <w:p w14:paraId="7B5D87F8">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防水</w:t>
            </w:r>
          </w:p>
        </w:tc>
        <w:tc>
          <w:tcPr>
            <w:tcW w:w="5118" w:type="dxa"/>
            <w:vAlign w:val="center"/>
          </w:tcPr>
          <w:p w14:paraId="4C3BEF73">
            <w:pPr>
              <w:pStyle w:val="64"/>
              <w:adjustRightInd w:val="0"/>
              <w:snapToGrid w:val="0"/>
              <w:jc w:val="both"/>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东方雨虹、黑豹、德高、卓宝</w:t>
            </w:r>
          </w:p>
        </w:tc>
      </w:tr>
    </w:tbl>
    <w:p w14:paraId="47781F6F">
      <w:pP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br w:type="page"/>
      </w:r>
    </w:p>
    <w:p w14:paraId="50A2D377">
      <w:pPr>
        <w:pStyle w:val="64"/>
        <w:jc w:val="center"/>
        <w:outlineLvl w:val="5"/>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3.强电类材料设备参考品牌名单</w:t>
      </w:r>
    </w:p>
    <w:tbl>
      <w:tblPr>
        <w:tblStyle w:val="38"/>
        <w:tblW w:w="9083" w:type="dxa"/>
        <w:tblInd w:w="11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034"/>
        <w:gridCol w:w="1094"/>
        <w:gridCol w:w="1590"/>
        <w:gridCol w:w="4365"/>
      </w:tblGrid>
      <w:tr w14:paraId="557062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2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491806">
            <w:pPr>
              <w:pStyle w:val="64"/>
              <w:adjustRightInd w:val="0"/>
              <w:snapToGrid w:val="0"/>
              <w:jc w:val="center"/>
              <w:rPr>
                <w:rFonts w:hint="eastAsia"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14:textFill>
                  <w14:solidFill>
                    <w14:schemeClr w14:val="tx1"/>
                  </w14:solidFill>
                </w14:textFill>
              </w:rPr>
              <w:t>材料设备品种</w:t>
            </w:r>
          </w:p>
        </w:tc>
        <w:tc>
          <w:tcPr>
            <w:tcW w:w="704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03E5B0">
            <w:pPr>
              <w:pStyle w:val="64"/>
              <w:adjustRightInd w:val="0"/>
              <w:snapToGrid w:val="0"/>
              <w:jc w:val="center"/>
              <w:rPr>
                <w:rFonts w:hint="eastAsia"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14:textFill>
                  <w14:solidFill>
                    <w14:schemeClr w14:val="tx1"/>
                  </w14:solidFill>
                </w14:textFill>
              </w:rPr>
              <w:t>参考品牌</w:t>
            </w:r>
          </w:p>
        </w:tc>
      </w:tr>
      <w:tr w14:paraId="200F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08EF4011">
            <w:pPr>
              <w:pStyle w:val="64"/>
              <w:adjustRightInd w:val="0"/>
              <w:snapToGrid w:val="0"/>
              <w:jc w:val="center"/>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三箱</w:t>
            </w:r>
          </w:p>
        </w:tc>
        <w:tc>
          <w:tcPr>
            <w:tcW w:w="7049" w:type="dxa"/>
            <w:gridSpan w:val="3"/>
            <w:vAlign w:val="center"/>
          </w:tcPr>
          <w:p w14:paraId="4D63804C">
            <w:pPr>
              <w:pStyle w:val="64"/>
              <w:adjustRightInd w:val="0"/>
              <w:snapToGrid w:val="0"/>
              <w:rPr>
                <w:rFonts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泰豪科技、盛辉电气、南京大全、飞霞机电</w:t>
            </w:r>
          </w:p>
        </w:tc>
      </w:tr>
      <w:tr w14:paraId="7EF6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Merge w:val="restart"/>
            <w:vAlign w:val="center"/>
          </w:tcPr>
          <w:p w14:paraId="7F9E61A8">
            <w:pPr>
              <w:pStyle w:val="64"/>
              <w:adjustRightInd w:val="0"/>
              <w:snapToGrid w:val="0"/>
              <w:jc w:val="center"/>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断路器</w:t>
            </w:r>
          </w:p>
        </w:tc>
        <w:tc>
          <w:tcPr>
            <w:tcW w:w="2684" w:type="dxa"/>
            <w:gridSpan w:val="2"/>
            <w:vAlign w:val="center"/>
          </w:tcPr>
          <w:p w14:paraId="528722F7">
            <w:pPr>
              <w:pStyle w:val="64"/>
              <w:adjustRightInd w:val="0"/>
              <w:snapToGrid w:val="0"/>
              <w:ind w:firstLine="1080" w:firstLineChars="450"/>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品牌</w:t>
            </w:r>
          </w:p>
        </w:tc>
        <w:tc>
          <w:tcPr>
            <w:tcW w:w="4365" w:type="dxa"/>
            <w:vAlign w:val="center"/>
          </w:tcPr>
          <w:p w14:paraId="408F659B">
            <w:pPr>
              <w:pStyle w:val="64"/>
              <w:adjustRightInd w:val="0"/>
              <w:snapToGrid w:val="0"/>
              <w:ind w:firstLine="1080" w:firstLineChars="450"/>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系列</w:t>
            </w:r>
          </w:p>
        </w:tc>
      </w:tr>
      <w:tr w14:paraId="47BC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Merge w:val="continue"/>
            <w:vAlign w:val="center"/>
          </w:tcPr>
          <w:p w14:paraId="500BDBF5">
            <w:pPr>
              <w:pStyle w:val="64"/>
              <w:adjustRightInd w:val="0"/>
              <w:snapToGrid w:val="0"/>
              <w:jc w:val="center"/>
              <w:rPr>
                <w:rFonts w:cs="Times New Roman"/>
                <w:color w:val="000000" w:themeColor="text1"/>
                <w:szCs w:val="21"/>
                <w:highlight w:val="none"/>
                <w14:textFill>
                  <w14:solidFill>
                    <w14:schemeClr w14:val="tx1"/>
                  </w14:solidFill>
                </w14:textFill>
              </w:rPr>
            </w:pPr>
          </w:p>
        </w:tc>
        <w:tc>
          <w:tcPr>
            <w:tcW w:w="2684" w:type="dxa"/>
            <w:gridSpan w:val="2"/>
            <w:vMerge w:val="restart"/>
            <w:vAlign w:val="center"/>
          </w:tcPr>
          <w:p w14:paraId="20F0A36F">
            <w:pPr>
              <w:pStyle w:val="64"/>
              <w:adjustRightInd w:val="0"/>
              <w:snapToGrid w:val="0"/>
              <w:rPr>
                <w:rFonts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西门子、ABB、施耐德、GE、海格、伊顿</w:t>
            </w:r>
          </w:p>
        </w:tc>
        <w:tc>
          <w:tcPr>
            <w:tcW w:w="4365" w:type="dxa"/>
            <w:vAlign w:val="center"/>
          </w:tcPr>
          <w:p w14:paraId="2E259D01">
            <w:pPr>
              <w:pStyle w:val="64"/>
              <w:adjustRightInd w:val="0"/>
              <w:snapToGrid w:val="0"/>
              <w:rPr>
                <w:rFonts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框架断路器：ABB(E2)、施耐德（MT）、西门子（3WL）、GE（G）、海格（HW）、伊顿（IZMX）</w:t>
            </w:r>
          </w:p>
        </w:tc>
      </w:tr>
      <w:tr w14:paraId="0DC6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Merge w:val="continue"/>
            <w:vAlign w:val="center"/>
          </w:tcPr>
          <w:p w14:paraId="58A92149">
            <w:pPr>
              <w:pStyle w:val="64"/>
              <w:adjustRightInd w:val="0"/>
              <w:snapToGrid w:val="0"/>
              <w:jc w:val="center"/>
              <w:rPr>
                <w:rFonts w:cs="Times New Roman"/>
                <w:color w:val="000000" w:themeColor="text1"/>
                <w:szCs w:val="21"/>
                <w:highlight w:val="none"/>
                <w14:textFill>
                  <w14:solidFill>
                    <w14:schemeClr w14:val="tx1"/>
                  </w14:solidFill>
                </w14:textFill>
              </w:rPr>
            </w:pPr>
          </w:p>
        </w:tc>
        <w:tc>
          <w:tcPr>
            <w:tcW w:w="2684" w:type="dxa"/>
            <w:gridSpan w:val="2"/>
            <w:vMerge w:val="continue"/>
            <w:vAlign w:val="center"/>
          </w:tcPr>
          <w:p w14:paraId="0448A142">
            <w:pPr>
              <w:pStyle w:val="64"/>
              <w:adjustRightInd w:val="0"/>
              <w:snapToGrid w:val="0"/>
              <w:rPr>
                <w:color w:val="000000" w:themeColor="text1"/>
                <w:szCs w:val="21"/>
                <w:highlight w:val="none"/>
                <w14:textFill>
                  <w14:solidFill>
                    <w14:schemeClr w14:val="tx1"/>
                  </w14:solidFill>
                </w14:textFill>
              </w:rPr>
            </w:pPr>
          </w:p>
        </w:tc>
        <w:tc>
          <w:tcPr>
            <w:tcW w:w="4365" w:type="dxa"/>
            <w:vAlign w:val="center"/>
          </w:tcPr>
          <w:p w14:paraId="295711DF">
            <w:pPr>
              <w:pStyle w:val="64"/>
              <w:adjustRightInd w:val="0"/>
              <w:snapToGrid w:val="0"/>
              <w:rPr>
                <w:rFonts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塑壳断路器：ABB(T3)、施耐德（NSX）、西门子（3VL）、GE（FEN）、海格（HNF）、伊顿（LZM）</w:t>
            </w:r>
          </w:p>
        </w:tc>
      </w:tr>
      <w:tr w14:paraId="0C79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Merge w:val="continue"/>
            <w:vAlign w:val="center"/>
          </w:tcPr>
          <w:p w14:paraId="388B5F95">
            <w:pPr>
              <w:pStyle w:val="64"/>
              <w:adjustRightInd w:val="0"/>
              <w:snapToGrid w:val="0"/>
              <w:jc w:val="center"/>
              <w:rPr>
                <w:rFonts w:cs="Times New Roman"/>
                <w:color w:val="000000" w:themeColor="text1"/>
                <w:szCs w:val="21"/>
                <w:highlight w:val="none"/>
                <w14:textFill>
                  <w14:solidFill>
                    <w14:schemeClr w14:val="tx1"/>
                  </w14:solidFill>
                </w14:textFill>
              </w:rPr>
            </w:pPr>
          </w:p>
        </w:tc>
        <w:tc>
          <w:tcPr>
            <w:tcW w:w="2684" w:type="dxa"/>
            <w:gridSpan w:val="2"/>
            <w:vMerge w:val="continue"/>
            <w:vAlign w:val="center"/>
          </w:tcPr>
          <w:p w14:paraId="5615D202">
            <w:pPr>
              <w:pStyle w:val="64"/>
              <w:adjustRightInd w:val="0"/>
              <w:snapToGrid w:val="0"/>
              <w:rPr>
                <w:color w:val="000000" w:themeColor="text1"/>
                <w:szCs w:val="21"/>
                <w:highlight w:val="none"/>
                <w14:textFill>
                  <w14:solidFill>
                    <w14:schemeClr w14:val="tx1"/>
                  </w14:solidFill>
                </w14:textFill>
              </w:rPr>
            </w:pPr>
          </w:p>
        </w:tc>
        <w:tc>
          <w:tcPr>
            <w:tcW w:w="4365" w:type="dxa"/>
            <w:vAlign w:val="center"/>
          </w:tcPr>
          <w:p w14:paraId="777C19CB">
            <w:pPr>
              <w:pStyle w:val="64"/>
              <w:adjustRightInd w:val="0"/>
              <w:snapToGrid w:val="0"/>
              <w:rPr>
                <w:rFonts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微型断路器：ABB(S201)、施耐德（iC65N）、西门子（5SJ6）、GE（G61）、海格（MC1）、伊顿（PL9）</w:t>
            </w:r>
          </w:p>
        </w:tc>
      </w:tr>
      <w:tr w14:paraId="12E2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76391EEA">
            <w:pPr>
              <w:pStyle w:val="64"/>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双电源（</w:t>
            </w:r>
            <w:r>
              <w:rPr>
                <w:color w:val="000000" w:themeColor="text1"/>
                <w:szCs w:val="21"/>
                <w:highlight w:val="none"/>
                <w14:textFill>
                  <w14:solidFill>
                    <w14:schemeClr w14:val="tx1"/>
                  </w14:solidFill>
                </w14:textFill>
              </w:rPr>
              <w:t>ATS</w:t>
            </w:r>
            <w:r>
              <w:rPr>
                <w:rFonts w:hint="eastAsia"/>
                <w:color w:val="000000" w:themeColor="text1"/>
                <w:szCs w:val="21"/>
                <w:highlight w:val="none"/>
                <w14:textFill>
                  <w14:solidFill>
                    <w14:schemeClr w14:val="tx1"/>
                  </w14:solidFill>
                </w14:textFill>
              </w:rPr>
              <w:t>）</w:t>
            </w:r>
          </w:p>
        </w:tc>
        <w:tc>
          <w:tcPr>
            <w:tcW w:w="7049" w:type="dxa"/>
            <w:gridSpan w:val="3"/>
            <w:vAlign w:val="center"/>
          </w:tcPr>
          <w:p w14:paraId="6FA120B3">
            <w:pPr>
              <w:pStyle w:val="64"/>
              <w:adjustRightInd w:val="0"/>
              <w:snapToGrid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ASCO、GE 、施耐德（WOTPC/WBTPC系列）</w:t>
            </w:r>
          </w:p>
        </w:tc>
      </w:tr>
      <w:tr w14:paraId="32DB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57FDFE5F">
            <w:pPr>
              <w:pStyle w:val="64"/>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常规灯具</w:t>
            </w:r>
          </w:p>
        </w:tc>
        <w:tc>
          <w:tcPr>
            <w:tcW w:w="7049" w:type="dxa"/>
            <w:gridSpan w:val="3"/>
            <w:vAlign w:val="center"/>
          </w:tcPr>
          <w:p w14:paraId="4E74C22B">
            <w:pPr>
              <w:pStyle w:val="64"/>
              <w:adjustRightInd w:val="0"/>
              <w:snapToGrid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飞利浦、松下、</w:t>
            </w:r>
            <w:r>
              <w:rPr>
                <w:rFonts w:hint="eastAsia"/>
                <w:color w:val="000000" w:themeColor="text1"/>
                <w:szCs w:val="21"/>
                <w:highlight w:val="none"/>
                <w:lang w:val="en-US" w:eastAsia="zh-CN"/>
                <w14:textFill>
                  <w14:solidFill>
                    <w14:schemeClr w14:val="tx1"/>
                  </w14:solidFill>
                </w14:textFill>
              </w:rPr>
              <w:t>佛山照明、雷士、小米</w:t>
            </w:r>
          </w:p>
        </w:tc>
      </w:tr>
      <w:tr w14:paraId="3C0B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Merge w:val="restart"/>
            <w:vAlign w:val="center"/>
          </w:tcPr>
          <w:p w14:paraId="0E7E77B2">
            <w:pPr>
              <w:pStyle w:val="64"/>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开关插座</w:t>
            </w:r>
          </w:p>
        </w:tc>
        <w:tc>
          <w:tcPr>
            <w:tcW w:w="1094" w:type="dxa"/>
            <w:vAlign w:val="center"/>
          </w:tcPr>
          <w:p w14:paraId="528548F8">
            <w:pPr>
              <w:pStyle w:val="64"/>
              <w:ind w:firstLine="241" w:firstLineChars="1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品牌</w:t>
            </w:r>
          </w:p>
        </w:tc>
        <w:tc>
          <w:tcPr>
            <w:tcW w:w="5955" w:type="dxa"/>
            <w:gridSpan w:val="2"/>
            <w:vAlign w:val="center"/>
          </w:tcPr>
          <w:p w14:paraId="0D95F074">
            <w:pPr>
              <w:pStyle w:val="64"/>
              <w:ind w:firstLine="1325" w:firstLineChars="55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产品系列</w:t>
            </w:r>
          </w:p>
        </w:tc>
      </w:tr>
      <w:tr w14:paraId="6470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Merge w:val="continue"/>
            <w:vAlign w:val="center"/>
          </w:tcPr>
          <w:p w14:paraId="675E29DF">
            <w:pPr>
              <w:pStyle w:val="64"/>
              <w:adjustRightInd w:val="0"/>
              <w:snapToGrid w:val="0"/>
              <w:jc w:val="center"/>
              <w:rPr>
                <w:color w:val="000000" w:themeColor="text1"/>
                <w:szCs w:val="21"/>
                <w:highlight w:val="none"/>
                <w14:textFill>
                  <w14:solidFill>
                    <w14:schemeClr w14:val="tx1"/>
                  </w14:solidFill>
                </w14:textFill>
              </w:rPr>
            </w:pPr>
          </w:p>
        </w:tc>
        <w:tc>
          <w:tcPr>
            <w:tcW w:w="1094" w:type="dxa"/>
            <w:vAlign w:val="center"/>
          </w:tcPr>
          <w:p w14:paraId="47CBAA34">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西门子</w:t>
            </w:r>
          </w:p>
        </w:tc>
        <w:tc>
          <w:tcPr>
            <w:tcW w:w="5955" w:type="dxa"/>
            <w:gridSpan w:val="2"/>
            <w:vAlign w:val="center"/>
          </w:tcPr>
          <w:p w14:paraId="5CC237D6">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睿致、灵动、灵致、点晶、品宜、地插、远景、悦动</w:t>
            </w:r>
          </w:p>
        </w:tc>
      </w:tr>
      <w:tr w14:paraId="283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Merge w:val="continue"/>
            <w:vAlign w:val="center"/>
          </w:tcPr>
          <w:p w14:paraId="38B0162C">
            <w:pPr>
              <w:pStyle w:val="64"/>
              <w:adjustRightInd w:val="0"/>
              <w:snapToGrid w:val="0"/>
              <w:jc w:val="center"/>
              <w:rPr>
                <w:color w:val="000000" w:themeColor="text1"/>
                <w:szCs w:val="21"/>
                <w:highlight w:val="none"/>
                <w14:textFill>
                  <w14:solidFill>
                    <w14:schemeClr w14:val="tx1"/>
                  </w14:solidFill>
                </w14:textFill>
              </w:rPr>
            </w:pPr>
          </w:p>
        </w:tc>
        <w:tc>
          <w:tcPr>
            <w:tcW w:w="1094" w:type="dxa"/>
            <w:vAlign w:val="center"/>
          </w:tcPr>
          <w:p w14:paraId="670DAE6F">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施耐德</w:t>
            </w:r>
          </w:p>
        </w:tc>
        <w:tc>
          <w:tcPr>
            <w:tcW w:w="5955" w:type="dxa"/>
            <w:gridSpan w:val="2"/>
            <w:vAlign w:val="center"/>
          </w:tcPr>
          <w:p w14:paraId="1ABEEA49">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轻点、绎尚、丰尚、如意</w:t>
            </w:r>
          </w:p>
        </w:tc>
      </w:tr>
      <w:tr w14:paraId="6A85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Merge w:val="continue"/>
            <w:vAlign w:val="center"/>
          </w:tcPr>
          <w:p w14:paraId="7128EADD">
            <w:pPr>
              <w:pStyle w:val="64"/>
              <w:adjustRightInd w:val="0"/>
              <w:snapToGrid w:val="0"/>
              <w:jc w:val="center"/>
              <w:rPr>
                <w:color w:val="000000" w:themeColor="text1"/>
                <w:szCs w:val="21"/>
                <w:highlight w:val="none"/>
                <w14:textFill>
                  <w14:solidFill>
                    <w14:schemeClr w14:val="tx1"/>
                  </w14:solidFill>
                </w14:textFill>
              </w:rPr>
            </w:pPr>
          </w:p>
        </w:tc>
        <w:tc>
          <w:tcPr>
            <w:tcW w:w="1094" w:type="dxa"/>
            <w:vAlign w:val="center"/>
          </w:tcPr>
          <w:p w14:paraId="3A10B1A7">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ABB</w:t>
            </w:r>
          </w:p>
        </w:tc>
        <w:tc>
          <w:tcPr>
            <w:tcW w:w="5955" w:type="dxa"/>
            <w:gridSpan w:val="2"/>
            <w:vAlign w:val="center"/>
          </w:tcPr>
          <w:p w14:paraId="33105D9F">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Dynasty、欧悦、德悦、德纯、德典、德灵、德炫、由艺、由悦、由雅、德逸、德宁、德静、永致</w:t>
            </w:r>
          </w:p>
        </w:tc>
      </w:tr>
      <w:tr w14:paraId="15F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446BD357">
            <w:pPr>
              <w:pStyle w:val="64"/>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电线</w:t>
            </w:r>
          </w:p>
        </w:tc>
        <w:tc>
          <w:tcPr>
            <w:tcW w:w="7049" w:type="dxa"/>
            <w:gridSpan w:val="3"/>
            <w:vAlign w:val="center"/>
          </w:tcPr>
          <w:p w14:paraId="52C26CDE">
            <w:pPr>
              <w:pStyle w:val="64"/>
              <w:adjustRightInd w:val="0"/>
              <w:snapToGrid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广东长江（南光牌）、金龙羽、金环宇、深圳成天泰</w:t>
            </w:r>
          </w:p>
        </w:tc>
      </w:tr>
      <w:tr w14:paraId="18A6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40943376">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应急照明和疏散指示系统</w:t>
            </w:r>
          </w:p>
        </w:tc>
        <w:tc>
          <w:tcPr>
            <w:tcW w:w="7049" w:type="dxa"/>
            <w:gridSpan w:val="3"/>
            <w:vAlign w:val="center"/>
          </w:tcPr>
          <w:p w14:paraId="1A859BEC">
            <w:pPr>
              <w:pStyle w:val="64"/>
              <w:rPr>
                <w:rFonts w:ascii="Times New Roman" w:hAnsi="Times New Roman" w:cs="Times New Roman"/>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恒生智能、中智盛安、沈阳宏宇</w:t>
            </w:r>
          </w:p>
        </w:tc>
      </w:tr>
      <w:tr w14:paraId="46EB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2234DE89">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泛光照明灯具</w:t>
            </w:r>
          </w:p>
        </w:tc>
        <w:tc>
          <w:tcPr>
            <w:tcW w:w="7049" w:type="dxa"/>
            <w:gridSpan w:val="3"/>
            <w:vAlign w:val="center"/>
          </w:tcPr>
          <w:p w14:paraId="50A62BFB">
            <w:pPr>
              <w:pStyle w:val="64"/>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深圳爱克莱特、香港银河、深圳磊明</w:t>
            </w:r>
          </w:p>
        </w:tc>
      </w:tr>
      <w:tr w14:paraId="501E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37E1B676">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电缆桥架</w:t>
            </w:r>
          </w:p>
        </w:tc>
        <w:tc>
          <w:tcPr>
            <w:tcW w:w="7049" w:type="dxa"/>
            <w:gridSpan w:val="3"/>
            <w:vAlign w:val="center"/>
          </w:tcPr>
          <w:p w14:paraId="6DAC2E6F">
            <w:pPr>
              <w:pStyle w:val="64"/>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江苏华彤 江苏中环 广羽桥架</w:t>
            </w:r>
          </w:p>
        </w:tc>
      </w:tr>
      <w:tr w14:paraId="15C3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0DF22EFB">
            <w:pPr>
              <w:pStyle w:val="64"/>
              <w:jc w:val="cente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电视</w:t>
            </w:r>
          </w:p>
        </w:tc>
        <w:tc>
          <w:tcPr>
            <w:tcW w:w="7049" w:type="dxa"/>
            <w:gridSpan w:val="3"/>
            <w:vAlign w:val="center"/>
          </w:tcPr>
          <w:p w14:paraId="135FCA51">
            <w:pPr>
              <w:pStyle w:val="64"/>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 xml:space="preserve">小米、TCL、创维 </w:t>
            </w:r>
          </w:p>
        </w:tc>
      </w:tr>
      <w:tr w14:paraId="3D28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3723B87F">
            <w:pPr>
              <w:pStyle w:val="64"/>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冰箱</w:t>
            </w:r>
          </w:p>
        </w:tc>
        <w:tc>
          <w:tcPr>
            <w:tcW w:w="7049" w:type="dxa"/>
            <w:gridSpan w:val="3"/>
            <w:vAlign w:val="center"/>
          </w:tcPr>
          <w:p w14:paraId="23EA2D1F">
            <w:pPr>
              <w:pStyle w:val="64"/>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小米、美的、海尔</w:t>
            </w:r>
          </w:p>
        </w:tc>
      </w:tr>
      <w:tr w14:paraId="507F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53855303">
            <w:pPr>
              <w:pStyle w:val="64"/>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热水器</w:t>
            </w:r>
          </w:p>
        </w:tc>
        <w:tc>
          <w:tcPr>
            <w:tcW w:w="7049" w:type="dxa"/>
            <w:gridSpan w:val="3"/>
            <w:vAlign w:val="center"/>
          </w:tcPr>
          <w:p w14:paraId="4AC4A627">
            <w:pPr>
              <w:pStyle w:val="64"/>
              <w:rPr>
                <w:rFonts w:hint="eastAsia"/>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小米、美的、海尔</w:t>
            </w:r>
          </w:p>
        </w:tc>
      </w:tr>
      <w:tr w14:paraId="4ED0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4" w:type="dxa"/>
            <w:vAlign w:val="center"/>
          </w:tcPr>
          <w:p w14:paraId="279BDE69">
            <w:pPr>
              <w:pStyle w:val="64"/>
              <w:jc w:val="center"/>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智能门锁</w:t>
            </w:r>
          </w:p>
        </w:tc>
        <w:tc>
          <w:tcPr>
            <w:tcW w:w="7049" w:type="dxa"/>
            <w:gridSpan w:val="3"/>
            <w:vAlign w:val="center"/>
          </w:tcPr>
          <w:p w14:paraId="17227EBA">
            <w:pPr>
              <w:pStyle w:val="64"/>
              <w:rPr>
                <w:rFonts w:hint="default"/>
                <w:bCs/>
                <w:color w:val="000000" w:themeColor="text1"/>
                <w:szCs w:val="21"/>
                <w:highlight w:val="none"/>
                <w:lang w:val="en-US" w:eastAsia="zh-CN"/>
                <w14:textFill>
                  <w14:solidFill>
                    <w14:schemeClr w14:val="tx1"/>
                  </w14:solidFill>
                </w14:textFill>
              </w:rPr>
            </w:pPr>
            <w:r>
              <w:rPr>
                <w:rFonts w:ascii="宋体" w:hAnsi="宋体" w:eastAsia="宋体" w:cs="宋体"/>
                <w:sz w:val="24"/>
                <w:szCs w:val="24"/>
                <w:highlight w:val="none"/>
              </w:rPr>
              <w:t>云丁、玛泰、</w:t>
            </w:r>
            <w:r>
              <w:rPr>
                <w:rFonts w:hint="eastAsia" w:cs="宋体"/>
                <w:sz w:val="24"/>
                <w:szCs w:val="24"/>
                <w:highlight w:val="none"/>
                <w:lang w:val="en-US" w:eastAsia="zh-CN"/>
              </w:rPr>
              <w:t>科技侠/通通锁、国民</w:t>
            </w:r>
          </w:p>
        </w:tc>
      </w:tr>
    </w:tbl>
    <w:p w14:paraId="43043397">
      <w:pPr>
        <w:pStyle w:val="64"/>
        <w:spacing w:line="360" w:lineRule="auto"/>
        <w:rPr>
          <w:b/>
          <w:color w:val="000000" w:themeColor="text1"/>
          <w:sz w:val="36"/>
          <w:szCs w:val="36"/>
          <w:highlight w:val="none"/>
          <w14:textFill>
            <w14:solidFill>
              <w14:schemeClr w14:val="tx1"/>
            </w14:solidFill>
          </w14:textFill>
        </w:rPr>
      </w:pPr>
    </w:p>
    <w:p w14:paraId="4410BF6B">
      <w:pPr>
        <w:pStyle w:val="64"/>
        <w:spacing w:line="360" w:lineRule="auto"/>
        <w:ind w:firstLine="0" w:firstLineChars="0"/>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4.弱电类材料设备参考品牌名单</w:t>
      </w:r>
    </w:p>
    <w:tbl>
      <w:tblPr>
        <w:tblStyle w:val="38"/>
        <w:tblpPr w:leftFromText="180" w:rightFromText="180" w:vertAnchor="text" w:tblpXSpec="center" w:tblpY="1"/>
        <w:tblOverlap w:val="never"/>
        <w:tblW w:w="8409" w:type="dxa"/>
        <w:jc w:val="center"/>
        <w:tblLayout w:type="fixed"/>
        <w:tblCellMar>
          <w:top w:w="0" w:type="dxa"/>
          <w:left w:w="108" w:type="dxa"/>
          <w:bottom w:w="0" w:type="dxa"/>
          <w:right w:w="108" w:type="dxa"/>
        </w:tblCellMar>
      </w:tblPr>
      <w:tblGrid>
        <w:gridCol w:w="3243"/>
        <w:gridCol w:w="5166"/>
      </w:tblGrid>
      <w:tr w14:paraId="010FB2A8">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45AE25CA">
            <w:pPr>
              <w:pStyle w:val="64"/>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cs="Times New Roman"/>
                <w:b/>
                <w:color w:val="000000" w:themeColor="text1"/>
                <w:szCs w:val="21"/>
                <w:highlight w:val="none"/>
                <w14:textFill>
                  <w14:solidFill>
                    <w14:schemeClr w14:val="tx1"/>
                  </w14:solidFill>
                </w14:textFill>
              </w:rPr>
              <w:t>设备材料</w:t>
            </w:r>
            <w:r>
              <w:rPr>
                <w:rFonts w:hint="eastAsia" w:ascii="Times New Roman" w:cs="Times New Roman"/>
                <w:b/>
                <w:color w:val="000000" w:themeColor="text1"/>
                <w:szCs w:val="21"/>
                <w:highlight w:val="none"/>
                <w14:textFill>
                  <w14:solidFill>
                    <w14:schemeClr w14:val="tx1"/>
                  </w14:solidFill>
                </w14:textFill>
              </w:rPr>
              <w:t>品种</w:t>
            </w:r>
          </w:p>
        </w:tc>
        <w:tc>
          <w:tcPr>
            <w:tcW w:w="5166" w:type="dxa"/>
            <w:tcBorders>
              <w:top w:val="single" w:color="auto" w:sz="4" w:space="0"/>
              <w:left w:val="single" w:color="auto" w:sz="4" w:space="0"/>
              <w:bottom w:val="single" w:color="auto" w:sz="4" w:space="0"/>
              <w:right w:val="single" w:color="auto" w:sz="4" w:space="0"/>
            </w:tcBorders>
            <w:vAlign w:val="center"/>
          </w:tcPr>
          <w:p w14:paraId="726026CA">
            <w:pPr>
              <w:pStyle w:val="64"/>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cs="Times New Roman"/>
                <w:b/>
                <w:color w:val="000000" w:themeColor="text1"/>
                <w:szCs w:val="21"/>
                <w:highlight w:val="none"/>
                <w14:textFill>
                  <w14:solidFill>
                    <w14:schemeClr w14:val="tx1"/>
                  </w14:solidFill>
                </w14:textFill>
              </w:rPr>
              <w:t>参考品牌</w:t>
            </w:r>
          </w:p>
        </w:tc>
      </w:tr>
      <w:tr w14:paraId="7FE77194">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E28EDFC">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火灾报警</w:t>
            </w:r>
          </w:p>
        </w:tc>
        <w:tc>
          <w:tcPr>
            <w:tcW w:w="5166" w:type="dxa"/>
            <w:tcBorders>
              <w:top w:val="single" w:color="auto" w:sz="4" w:space="0"/>
              <w:left w:val="single" w:color="auto" w:sz="4" w:space="0"/>
              <w:bottom w:val="single" w:color="auto" w:sz="4" w:space="0"/>
              <w:right w:val="single" w:color="auto" w:sz="4" w:space="0"/>
            </w:tcBorders>
            <w:vAlign w:val="center"/>
          </w:tcPr>
          <w:p w14:paraId="235E8701">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北大青鸟、海湾、泛海三江</w:t>
            </w:r>
          </w:p>
        </w:tc>
      </w:tr>
      <w:tr w14:paraId="1507EF9E">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65067550">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联动控制柜</w:t>
            </w:r>
          </w:p>
        </w:tc>
        <w:tc>
          <w:tcPr>
            <w:tcW w:w="5166" w:type="dxa"/>
            <w:tcBorders>
              <w:top w:val="single" w:color="auto" w:sz="4" w:space="0"/>
              <w:left w:val="single" w:color="auto" w:sz="4" w:space="0"/>
              <w:bottom w:val="single" w:color="auto" w:sz="4" w:space="0"/>
              <w:right w:val="single" w:color="auto" w:sz="4" w:space="0"/>
            </w:tcBorders>
            <w:vAlign w:val="center"/>
          </w:tcPr>
          <w:p w14:paraId="06786B97">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北大青鸟、海湾、泛海三江</w:t>
            </w:r>
          </w:p>
        </w:tc>
      </w:tr>
      <w:tr w14:paraId="6810D37E">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shd w:val="clear" w:color="auto" w:fill="auto"/>
            <w:vAlign w:val="center"/>
          </w:tcPr>
          <w:p w14:paraId="52E1D79F">
            <w:pPr>
              <w:pStyle w:val="64"/>
              <w:jc w:val="center"/>
              <w:rPr>
                <w:rFonts w:ascii="Times New Roman" w:hAnsi="Times New Roman" w:eastAsia="宋体" w:cs="Times New Roman"/>
                <w:color w:val="000000" w:themeColor="text1"/>
                <w:sz w:val="24"/>
                <w:szCs w:val="21"/>
                <w:highlight w:val="none"/>
                <w:lang w:val="en-US" w:eastAsia="zh-CN" w:bidi="ar-SA"/>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背景音乐及消防广播</w:t>
            </w:r>
          </w:p>
        </w:tc>
        <w:tc>
          <w:tcPr>
            <w:tcW w:w="5166" w:type="dxa"/>
            <w:tcBorders>
              <w:top w:val="single" w:color="auto" w:sz="4" w:space="0"/>
              <w:left w:val="single" w:color="auto" w:sz="4" w:space="0"/>
              <w:bottom w:val="single" w:color="auto" w:sz="4" w:space="0"/>
              <w:right w:val="single" w:color="auto" w:sz="4" w:space="0"/>
            </w:tcBorders>
            <w:shd w:val="clear" w:color="auto" w:fill="auto"/>
            <w:vAlign w:val="center"/>
          </w:tcPr>
          <w:p w14:paraId="511D47EF">
            <w:pPr>
              <w:pStyle w:val="64"/>
              <w:jc w:val="center"/>
              <w:rPr>
                <w:rFonts w:ascii="Times New Roman" w:hAnsi="Times New Roman" w:eastAsia="宋体" w:cs="Times New Roman"/>
                <w:color w:val="000000" w:themeColor="text1"/>
                <w:sz w:val="24"/>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Cs w:val="21"/>
                <w:highlight w:val="none"/>
                <w14:textFill>
                  <w14:solidFill>
                    <w14:schemeClr w14:val="tx1"/>
                  </w14:solidFill>
                </w14:textFill>
              </w:rPr>
              <w:t>北大青鸟、海湾、泛海三江</w:t>
            </w:r>
          </w:p>
        </w:tc>
      </w:tr>
      <w:tr w14:paraId="6C8233B3">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1E9C3EEB">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UPS</w:t>
            </w:r>
            <w:r>
              <w:rPr>
                <w:rFonts w:ascii="Times New Roman" w:cs="Times New Roman"/>
                <w:color w:val="000000" w:themeColor="text1"/>
                <w:szCs w:val="21"/>
                <w:highlight w:val="none"/>
                <w14:textFill>
                  <w14:solidFill>
                    <w14:schemeClr w14:val="tx1"/>
                  </w14:solidFill>
                </w14:textFill>
              </w:rPr>
              <w:t>主机</w:t>
            </w:r>
          </w:p>
        </w:tc>
        <w:tc>
          <w:tcPr>
            <w:tcW w:w="5166" w:type="dxa"/>
            <w:tcBorders>
              <w:top w:val="single" w:color="auto" w:sz="4" w:space="0"/>
              <w:left w:val="single" w:color="auto" w:sz="4" w:space="0"/>
              <w:bottom w:val="single" w:color="auto" w:sz="4" w:space="0"/>
              <w:right w:val="single" w:color="auto" w:sz="4" w:space="0"/>
            </w:tcBorders>
            <w:vAlign w:val="center"/>
          </w:tcPr>
          <w:p w14:paraId="40A805B1">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华为</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航天柏克</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科华</w:t>
            </w:r>
          </w:p>
        </w:tc>
      </w:tr>
      <w:tr w14:paraId="4F63F6CA">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4A03D5CC">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综合布线</w:t>
            </w:r>
          </w:p>
        </w:tc>
        <w:tc>
          <w:tcPr>
            <w:tcW w:w="5166" w:type="dxa"/>
            <w:tcBorders>
              <w:top w:val="single" w:color="auto" w:sz="4" w:space="0"/>
              <w:left w:val="single" w:color="auto" w:sz="4" w:space="0"/>
              <w:bottom w:val="single" w:color="auto" w:sz="4" w:space="0"/>
              <w:right w:val="single" w:color="auto" w:sz="4" w:space="0"/>
            </w:tcBorders>
            <w:vAlign w:val="center"/>
          </w:tcPr>
          <w:p w14:paraId="322D2DB5">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cs="Times New Roman"/>
                <w:color w:val="000000" w:themeColor="text1"/>
                <w:szCs w:val="21"/>
                <w:highlight w:val="none"/>
                <w14:textFill>
                  <w14:solidFill>
                    <w14:schemeClr w14:val="tx1"/>
                  </w14:solidFill>
                </w14:textFill>
              </w:rPr>
              <w:t>普天汉飞、清华同方、TCL</w:t>
            </w:r>
            <w:r>
              <w:rPr>
                <w:rFonts w:ascii="Times New Roman" w:hAnsi="Times New Roman" w:cs="Times New Roman"/>
                <w:color w:val="000000" w:themeColor="text1"/>
                <w:szCs w:val="21"/>
                <w:highlight w:val="none"/>
                <w14:textFill>
                  <w14:solidFill>
                    <w14:schemeClr w14:val="tx1"/>
                  </w14:solidFill>
                </w14:textFill>
              </w:rPr>
              <w:t xml:space="preserve"> </w:t>
            </w:r>
          </w:p>
        </w:tc>
      </w:tr>
      <w:tr w14:paraId="2E807982">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77E0C124">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电力监控</w:t>
            </w:r>
          </w:p>
        </w:tc>
        <w:tc>
          <w:tcPr>
            <w:tcW w:w="5166" w:type="dxa"/>
            <w:tcBorders>
              <w:top w:val="single" w:color="auto" w:sz="4" w:space="0"/>
              <w:left w:val="single" w:color="auto" w:sz="4" w:space="0"/>
              <w:bottom w:val="single" w:color="auto" w:sz="4" w:space="0"/>
              <w:right w:val="single" w:color="auto" w:sz="4" w:space="0"/>
            </w:tcBorders>
            <w:vAlign w:val="center"/>
          </w:tcPr>
          <w:p w14:paraId="10EC031F">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ABB</w:t>
            </w:r>
            <w:r>
              <w:rPr>
                <w:rFonts w:ascii="Times New Roman" w:cs="Times New Roman"/>
                <w:color w:val="000000" w:themeColor="text1"/>
                <w:szCs w:val="21"/>
                <w:highlight w:val="none"/>
                <w14:textFill>
                  <w14:solidFill>
                    <w14:schemeClr w14:val="tx1"/>
                  </w14:solidFill>
                </w14:textFill>
              </w:rPr>
              <w:t>、施耐德、海亿达、华力特</w:t>
            </w:r>
          </w:p>
        </w:tc>
      </w:tr>
      <w:tr w14:paraId="7EDD6B88">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554B828C">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IP</w:t>
            </w:r>
            <w:r>
              <w:rPr>
                <w:rFonts w:ascii="Times New Roman" w:cs="Times New Roman"/>
                <w:color w:val="000000" w:themeColor="text1"/>
                <w:szCs w:val="21"/>
                <w:highlight w:val="none"/>
                <w14:textFill>
                  <w14:solidFill>
                    <w14:schemeClr w14:val="tx1"/>
                  </w14:solidFill>
                </w14:textFill>
              </w:rPr>
              <w:t>摄像机</w:t>
            </w:r>
          </w:p>
        </w:tc>
        <w:tc>
          <w:tcPr>
            <w:tcW w:w="5166" w:type="dxa"/>
            <w:tcBorders>
              <w:top w:val="single" w:color="auto" w:sz="4" w:space="0"/>
              <w:left w:val="single" w:color="auto" w:sz="4" w:space="0"/>
              <w:bottom w:val="single" w:color="auto" w:sz="4" w:space="0"/>
              <w:right w:val="single" w:color="auto" w:sz="4" w:space="0"/>
            </w:tcBorders>
            <w:vAlign w:val="center"/>
          </w:tcPr>
          <w:p w14:paraId="6F9C7DA3">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大华</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海康</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英飞拓</w:t>
            </w:r>
            <w:r>
              <w:rPr>
                <w:rFonts w:ascii="Times New Roman" w:hAnsi="Times New Roman" w:cs="Times New Roman"/>
                <w:color w:val="000000" w:themeColor="text1"/>
                <w:szCs w:val="21"/>
                <w:highlight w:val="none"/>
                <w14:textFill>
                  <w14:solidFill>
                    <w14:schemeClr w14:val="tx1"/>
                  </w14:solidFill>
                </w14:textFill>
              </w:rPr>
              <w:t xml:space="preserve">                  </w:t>
            </w:r>
          </w:p>
        </w:tc>
      </w:tr>
      <w:tr w14:paraId="69029670">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20E542E0">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模拟摄像机</w:t>
            </w:r>
          </w:p>
        </w:tc>
        <w:tc>
          <w:tcPr>
            <w:tcW w:w="5166" w:type="dxa"/>
            <w:tcBorders>
              <w:top w:val="single" w:color="auto" w:sz="4" w:space="0"/>
              <w:left w:val="single" w:color="auto" w:sz="4" w:space="0"/>
              <w:bottom w:val="single" w:color="auto" w:sz="4" w:space="0"/>
              <w:right w:val="single" w:color="auto" w:sz="4" w:space="0"/>
            </w:tcBorders>
            <w:vAlign w:val="center"/>
          </w:tcPr>
          <w:p w14:paraId="66EE6456">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大华</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海康</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英飞拓</w:t>
            </w:r>
          </w:p>
        </w:tc>
      </w:tr>
      <w:tr w14:paraId="579649A3">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754B9B2">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磁盘阵列存储</w:t>
            </w:r>
          </w:p>
        </w:tc>
        <w:tc>
          <w:tcPr>
            <w:tcW w:w="5166" w:type="dxa"/>
            <w:tcBorders>
              <w:top w:val="single" w:color="auto" w:sz="4" w:space="0"/>
              <w:left w:val="single" w:color="auto" w:sz="4" w:space="0"/>
              <w:bottom w:val="single" w:color="auto" w:sz="4" w:space="0"/>
              <w:right w:val="single" w:color="auto" w:sz="4" w:space="0"/>
            </w:tcBorders>
            <w:vAlign w:val="center"/>
          </w:tcPr>
          <w:p w14:paraId="6B717CA4">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大华</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海康</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英飞拓</w:t>
            </w:r>
          </w:p>
        </w:tc>
      </w:tr>
      <w:tr w14:paraId="6B1B286C">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FBE5B0B">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硬盘录像机</w:t>
            </w:r>
          </w:p>
        </w:tc>
        <w:tc>
          <w:tcPr>
            <w:tcW w:w="5166" w:type="dxa"/>
            <w:tcBorders>
              <w:top w:val="single" w:color="auto" w:sz="4" w:space="0"/>
              <w:left w:val="single" w:color="auto" w:sz="4" w:space="0"/>
              <w:bottom w:val="single" w:color="auto" w:sz="4" w:space="0"/>
              <w:right w:val="single" w:color="auto" w:sz="4" w:space="0"/>
            </w:tcBorders>
            <w:vAlign w:val="center"/>
          </w:tcPr>
          <w:p w14:paraId="556583A3">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大华</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海康</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英飞拓</w:t>
            </w:r>
          </w:p>
        </w:tc>
      </w:tr>
      <w:tr w14:paraId="4CC788D7">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1A0F38F0">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矩阵</w:t>
            </w:r>
          </w:p>
        </w:tc>
        <w:tc>
          <w:tcPr>
            <w:tcW w:w="5166" w:type="dxa"/>
            <w:tcBorders>
              <w:top w:val="single" w:color="auto" w:sz="4" w:space="0"/>
              <w:left w:val="single" w:color="auto" w:sz="4" w:space="0"/>
              <w:bottom w:val="single" w:color="auto" w:sz="4" w:space="0"/>
              <w:right w:val="single" w:color="auto" w:sz="4" w:space="0"/>
            </w:tcBorders>
            <w:vAlign w:val="center"/>
          </w:tcPr>
          <w:p w14:paraId="1F668C92">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大华</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海康</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英飞拓</w:t>
            </w:r>
          </w:p>
        </w:tc>
      </w:tr>
      <w:tr w14:paraId="49A0BDAE">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64334B89">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光端机</w:t>
            </w:r>
          </w:p>
        </w:tc>
        <w:tc>
          <w:tcPr>
            <w:tcW w:w="5166" w:type="dxa"/>
            <w:tcBorders>
              <w:top w:val="single" w:color="auto" w:sz="4" w:space="0"/>
              <w:left w:val="single" w:color="auto" w:sz="4" w:space="0"/>
              <w:bottom w:val="single" w:color="auto" w:sz="4" w:space="0"/>
              <w:right w:val="single" w:color="auto" w:sz="4" w:space="0"/>
            </w:tcBorders>
            <w:vAlign w:val="center"/>
          </w:tcPr>
          <w:p w14:paraId="0CA91931">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大华</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海康</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英飞拓</w:t>
            </w:r>
          </w:p>
        </w:tc>
      </w:tr>
      <w:tr w14:paraId="7714A7F8">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04EC5A97">
            <w:pPr>
              <w:pStyle w:val="64"/>
              <w:jc w:val="cente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网络交换机</w:t>
            </w:r>
            <w:r>
              <w:rPr>
                <w:rFonts w:hint="eastAsia" w:ascii="Times New Roman" w:cs="Times New Roman"/>
                <w:color w:val="000000" w:themeColor="text1"/>
                <w:szCs w:val="21"/>
                <w:highlight w:val="none"/>
                <w:lang w:eastAsia="zh-CN"/>
                <w14:textFill>
                  <w14:solidFill>
                    <w14:schemeClr w14:val="tx1"/>
                  </w14:solidFill>
                </w14:textFill>
              </w:rPr>
              <w:t>、</w:t>
            </w:r>
            <w:r>
              <w:rPr>
                <w:rFonts w:hint="eastAsia" w:ascii="Times New Roman" w:cs="Times New Roman"/>
                <w:color w:val="000000" w:themeColor="text1"/>
                <w:szCs w:val="21"/>
                <w:highlight w:val="none"/>
                <w:lang w:val="en-US" w:eastAsia="zh-CN"/>
                <w14:textFill>
                  <w14:solidFill>
                    <w14:schemeClr w14:val="tx1"/>
                  </w14:solidFill>
                </w14:textFill>
              </w:rPr>
              <w:t>路由器</w:t>
            </w:r>
          </w:p>
        </w:tc>
        <w:tc>
          <w:tcPr>
            <w:tcW w:w="5166" w:type="dxa"/>
            <w:tcBorders>
              <w:top w:val="single" w:color="auto" w:sz="4" w:space="0"/>
              <w:left w:val="single" w:color="auto" w:sz="4" w:space="0"/>
              <w:bottom w:val="single" w:color="auto" w:sz="4" w:space="0"/>
              <w:right w:val="single" w:color="auto" w:sz="4" w:space="0"/>
            </w:tcBorders>
            <w:vAlign w:val="center"/>
          </w:tcPr>
          <w:p w14:paraId="0D248C07">
            <w:pPr>
              <w:pStyle w:val="64"/>
              <w:jc w:val="center"/>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华三、华为</w:t>
            </w:r>
            <w:r>
              <w:rPr>
                <w:rFonts w:hint="eastAsia" w:ascii="Times New Roman" w:cs="Times New Roman"/>
                <w:color w:val="000000" w:themeColor="text1"/>
                <w:szCs w:val="21"/>
                <w:highlight w:val="none"/>
                <w14:textFill>
                  <w14:solidFill>
                    <w14:schemeClr w14:val="tx1"/>
                  </w14:solidFill>
                </w14:textFill>
              </w:rPr>
              <w:t>、</w:t>
            </w:r>
            <w:r>
              <w:rPr>
                <w:rFonts w:hint="eastAsia" w:ascii="Times New Roman" w:cs="Times New Roman"/>
                <w:color w:val="000000" w:themeColor="text1"/>
                <w:szCs w:val="21"/>
                <w:highlight w:val="none"/>
                <w:lang w:val="en-US" w:eastAsia="zh-CN"/>
                <w14:textFill>
                  <w14:solidFill>
                    <w14:schemeClr w14:val="tx1"/>
                  </w14:solidFill>
                </w14:textFill>
              </w:rPr>
              <w:t>思科</w:t>
            </w:r>
          </w:p>
        </w:tc>
      </w:tr>
      <w:tr w14:paraId="00B1DD7B">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238ECBB9">
            <w:pPr>
              <w:pStyle w:val="64"/>
              <w:jc w:val="center"/>
              <w:rPr>
                <w:rFonts w:hint="default" w:asci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cs="Times New Roman"/>
                <w:color w:val="000000" w:themeColor="text1"/>
                <w:szCs w:val="21"/>
                <w:highlight w:val="none"/>
                <w:lang w:val="en-US" w:eastAsia="zh-CN"/>
                <w14:textFill>
                  <w14:solidFill>
                    <w14:schemeClr w14:val="tx1"/>
                  </w14:solidFill>
                </w14:textFill>
              </w:rPr>
              <w:t>无线控制器、无线面板</w:t>
            </w:r>
          </w:p>
        </w:tc>
        <w:tc>
          <w:tcPr>
            <w:tcW w:w="5166" w:type="dxa"/>
            <w:tcBorders>
              <w:top w:val="single" w:color="auto" w:sz="4" w:space="0"/>
              <w:left w:val="single" w:color="auto" w:sz="4" w:space="0"/>
              <w:bottom w:val="single" w:color="auto" w:sz="4" w:space="0"/>
              <w:right w:val="single" w:color="auto" w:sz="4" w:space="0"/>
            </w:tcBorders>
            <w:vAlign w:val="center"/>
          </w:tcPr>
          <w:p w14:paraId="11E2D89E">
            <w:pPr>
              <w:pStyle w:val="64"/>
              <w:jc w:val="center"/>
              <w:rPr>
                <w:rFonts w:hint="eastAsia" w:ascii="Times New Roman" w:eastAsia="宋体" w:cs="Times New Roman"/>
                <w:color w:val="000000" w:themeColor="text1"/>
                <w:szCs w:val="21"/>
                <w:highlight w:val="none"/>
                <w:lang w:val="en-US" w:eastAsia="zh-CN"/>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华三、华为</w:t>
            </w:r>
            <w:r>
              <w:rPr>
                <w:rFonts w:hint="eastAsia" w:ascii="Times New Roman" w:cs="Times New Roman"/>
                <w:color w:val="000000" w:themeColor="text1"/>
                <w:szCs w:val="21"/>
                <w:highlight w:val="none"/>
                <w14:textFill>
                  <w14:solidFill>
                    <w14:schemeClr w14:val="tx1"/>
                  </w14:solidFill>
                </w14:textFill>
              </w:rPr>
              <w:t>、</w:t>
            </w:r>
            <w:r>
              <w:rPr>
                <w:rFonts w:hint="eastAsia" w:ascii="Times New Roman" w:cs="Times New Roman"/>
                <w:color w:val="000000" w:themeColor="text1"/>
                <w:szCs w:val="21"/>
                <w:highlight w:val="none"/>
                <w:lang w:val="en-US" w:eastAsia="zh-CN"/>
                <w14:textFill>
                  <w14:solidFill>
                    <w14:schemeClr w14:val="tx1"/>
                  </w14:solidFill>
                </w14:textFill>
              </w:rPr>
              <w:t>信锐</w:t>
            </w:r>
          </w:p>
        </w:tc>
      </w:tr>
      <w:tr w14:paraId="62D83A4B">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10238416">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监视器</w:t>
            </w:r>
          </w:p>
        </w:tc>
        <w:tc>
          <w:tcPr>
            <w:tcW w:w="5166" w:type="dxa"/>
            <w:tcBorders>
              <w:top w:val="single" w:color="auto" w:sz="4" w:space="0"/>
              <w:left w:val="single" w:color="auto" w:sz="4" w:space="0"/>
              <w:bottom w:val="single" w:color="auto" w:sz="4" w:space="0"/>
              <w:right w:val="single" w:color="auto" w:sz="4" w:space="0"/>
            </w:tcBorders>
            <w:vAlign w:val="center"/>
          </w:tcPr>
          <w:p w14:paraId="1C01784F">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大华</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海康</w:t>
            </w:r>
            <w:r>
              <w:rPr>
                <w:rFonts w:hint="eastAsia" w:ascii="Times New Roman" w:cs="Times New Roman"/>
                <w:color w:val="000000" w:themeColor="text1"/>
                <w:szCs w:val="21"/>
                <w:highlight w:val="none"/>
                <w14:textFill>
                  <w14:solidFill>
                    <w14:schemeClr w14:val="tx1"/>
                  </w14:solidFill>
                </w14:textFill>
              </w:rPr>
              <w:t>、</w:t>
            </w:r>
            <w:r>
              <w:rPr>
                <w:rFonts w:ascii="Times New Roman" w:cs="Times New Roman"/>
                <w:color w:val="000000" w:themeColor="text1"/>
                <w:szCs w:val="21"/>
                <w:highlight w:val="none"/>
                <w14:textFill>
                  <w14:solidFill>
                    <w14:schemeClr w14:val="tx1"/>
                  </w14:solidFill>
                </w14:textFill>
              </w:rPr>
              <w:t>英飞拓</w:t>
            </w:r>
          </w:p>
        </w:tc>
      </w:tr>
      <w:tr w14:paraId="69B773AA">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6274D5A2">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电线（弱电）</w:t>
            </w:r>
          </w:p>
        </w:tc>
        <w:tc>
          <w:tcPr>
            <w:tcW w:w="5166" w:type="dxa"/>
            <w:tcBorders>
              <w:top w:val="single" w:color="auto" w:sz="4" w:space="0"/>
              <w:left w:val="single" w:color="auto" w:sz="4" w:space="0"/>
              <w:bottom w:val="single" w:color="auto" w:sz="4" w:space="0"/>
              <w:right w:val="single" w:color="auto" w:sz="4" w:space="0"/>
            </w:tcBorders>
            <w:vAlign w:val="center"/>
          </w:tcPr>
          <w:p w14:paraId="30363AD6">
            <w:pPr>
              <w:pStyle w:val="64"/>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联嘉祥</w:t>
            </w:r>
            <w:r>
              <w:rPr>
                <w:rFonts w:hint="eastAsia" w:ascii="Times New Roman" w:cs="Times New Roman"/>
                <w:color w:val="000000" w:themeColor="text1"/>
                <w:szCs w:val="21"/>
                <w:highlight w:val="none"/>
                <w14:textFill>
                  <w14:solidFill>
                    <w14:schemeClr w14:val="tx1"/>
                  </w14:solidFill>
                </w14:textFill>
              </w:rPr>
              <w:t>、宇洪、</w:t>
            </w:r>
            <w:r>
              <w:rPr>
                <w:rFonts w:ascii="Times New Roman" w:cs="Times New Roman"/>
                <w:color w:val="000000" w:themeColor="text1"/>
                <w:szCs w:val="21"/>
                <w:highlight w:val="none"/>
                <w14:textFill>
                  <w14:solidFill>
                    <w14:schemeClr w14:val="tx1"/>
                  </w14:solidFill>
                </w14:textFill>
              </w:rPr>
              <w:t>华亿</w:t>
            </w:r>
          </w:p>
        </w:tc>
      </w:tr>
      <w:tr w14:paraId="29719B40">
        <w:tblPrEx>
          <w:tblCellMar>
            <w:top w:w="0" w:type="dxa"/>
            <w:left w:w="108" w:type="dxa"/>
            <w:bottom w:w="0" w:type="dxa"/>
            <w:right w:w="108"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6801E6EB">
            <w:pPr>
              <w:pStyle w:val="64"/>
              <w:jc w:val="center"/>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机柜</w:t>
            </w:r>
          </w:p>
          <w:p w14:paraId="22F79CFF">
            <w:pPr>
              <w:pStyle w:val="64"/>
              <w:jc w:val="center"/>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三网合一</w:t>
            </w:r>
            <w:r>
              <w:rPr>
                <w:rFonts w:hint="eastAsia" w:ascii="Times New Roman" w:cs="Times New Roman"/>
                <w:color w:val="000000" w:themeColor="text1"/>
                <w:szCs w:val="21"/>
                <w:highlight w:val="none"/>
                <w14:textFill>
                  <w14:solidFill>
                    <w14:schemeClr w14:val="tx1"/>
                  </w14:solidFill>
                </w14:textFill>
              </w:rPr>
              <w:t>箱</w:t>
            </w:r>
          </w:p>
        </w:tc>
        <w:tc>
          <w:tcPr>
            <w:tcW w:w="5166" w:type="dxa"/>
            <w:tcBorders>
              <w:top w:val="single" w:color="auto" w:sz="4" w:space="0"/>
              <w:left w:val="single" w:color="auto" w:sz="4" w:space="0"/>
              <w:bottom w:val="single" w:color="auto" w:sz="4" w:space="0"/>
              <w:right w:val="single" w:color="auto" w:sz="4" w:space="0"/>
            </w:tcBorders>
            <w:vAlign w:val="center"/>
          </w:tcPr>
          <w:p w14:paraId="5CC834AA">
            <w:pPr>
              <w:pStyle w:val="64"/>
              <w:jc w:val="center"/>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机柜</w:t>
            </w:r>
          </w:p>
          <w:p w14:paraId="2BE7E61C">
            <w:pPr>
              <w:pStyle w:val="64"/>
              <w:jc w:val="center"/>
              <w:rPr>
                <w:rFonts w:ascii="Times New Roman" w:cs="Times New Roman"/>
                <w:color w:val="000000" w:themeColor="text1"/>
                <w:szCs w:val="21"/>
                <w:highlight w:val="none"/>
                <w14:textFill>
                  <w14:solidFill>
                    <w14:schemeClr w14:val="tx1"/>
                  </w14:solidFill>
                </w14:textFill>
              </w:rPr>
            </w:pPr>
            <w:r>
              <w:rPr>
                <w:rFonts w:ascii="Times New Roman" w:cs="Times New Roman"/>
                <w:color w:val="000000" w:themeColor="text1"/>
                <w:szCs w:val="21"/>
                <w:highlight w:val="none"/>
                <w14:textFill>
                  <w14:solidFill>
                    <w14:schemeClr w14:val="tx1"/>
                  </w14:solidFill>
                </w14:textFill>
              </w:rPr>
              <w:t>三网合一</w:t>
            </w:r>
            <w:r>
              <w:rPr>
                <w:rFonts w:hint="eastAsia" w:ascii="Times New Roman" w:cs="Times New Roman"/>
                <w:color w:val="000000" w:themeColor="text1"/>
                <w:szCs w:val="21"/>
                <w:highlight w:val="none"/>
                <w14:textFill>
                  <w14:solidFill>
                    <w14:schemeClr w14:val="tx1"/>
                  </w14:solidFill>
                </w14:textFill>
              </w:rPr>
              <w:t>箱</w:t>
            </w:r>
          </w:p>
        </w:tc>
      </w:tr>
    </w:tbl>
    <w:p w14:paraId="5BAC6B99">
      <w:pPr>
        <w:pStyle w:val="64"/>
        <w:jc w:val="center"/>
        <w:rPr>
          <w:rFonts w:hint="eastAsia"/>
          <w:b/>
          <w:color w:val="000000" w:themeColor="text1"/>
          <w:sz w:val="36"/>
          <w:szCs w:val="36"/>
          <w:highlight w:val="none"/>
          <w14:textFill>
            <w14:solidFill>
              <w14:schemeClr w14:val="tx1"/>
            </w14:solidFill>
          </w14:textFill>
        </w:rPr>
      </w:pPr>
    </w:p>
    <w:p w14:paraId="11EBB4F2">
      <w:pPr>
        <w:pStyle w:val="64"/>
        <w:jc w:val="center"/>
        <w:rPr>
          <w:rFonts w:hint="eastAsia"/>
          <w:b/>
          <w:color w:val="000000" w:themeColor="text1"/>
          <w:sz w:val="36"/>
          <w:szCs w:val="36"/>
          <w:highlight w:val="none"/>
          <w14:textFill>
            <w14:solidFill>
              <w14:schemeClr w14:val="tx1"/>
            </w14:solidFill>
          </w14:textFill>
        </w:rPr>
      </w:pPr>
    </w:p>
    <w:p w14:paraId="5FBE1641">
      <w:pPr>
        <w:pStyle w:val="64"/>
        <w:jc w:val="center"/>
        <w:rPr>
          <w:rFonts w:hint="eastAsia"/>
          <w:b/>
          <w:color w:val="000000" w:themeColor="text1"/>
          <w:sz w:val="36"/>
          <w:szCs w:val="36"/>
          <w:highlight w:val="none"/>
          <w14:textFill>
            <w14:solidFill>
              <w14:schemeClr w14:val="tx1"/>
            </w14:solidFill>
          </w14:textFill>
        </w:rPr>
      </w:pPr>
    </w:p>
    <w:p w14:paraId="7CD3FC72">
      <w:pPr>
        <w:pStyle w:val="64"/>
        <w:jc w:val="center"/>
        <w:rPr>
          <w:rFonts w:hint="eastAsia"/>
          <w:b/>
          <w:color w:val="000000" w:themeColor="text1"/>
          <w:sz w:val="36"/>
          <w:szCs w:val="36"/>
          <w:highlight w:val="none"/>
          <w14:textFill>
            <w14:solidFill>
              <w14:schemeClr w14:val="tx1"/>
            </w14:solidFill>
          </w14:textFill>
        </w:rPr>
      </w:pPr>
    </w:p>
    <w:p w14:paraId="27B1853F">
      <w:pPr>
        <w:pStyle w:val="64"/>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5.给排水类材料设备参考品牌名单</w:t>
      </w:r>
    </w:p>
    <w:tbl>
      <w:tblPr>
        <w:tblStyle w:val="38"/>
        <w:tblpPr w:leftFromText="180" w:rightFromText="180" w:vertAnchor="text" w:tblpXSpec="center" w:tblpY="1"/>
        <w:tblOverlap w:val="never"/>
        <w:tblW w:w="863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58"/>
        <w:gridCol w:w="5772"/>
      </w:tblGrid>
      <w:tr w14:paraId="36D7BD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4B9C34FB">
            <w:pPr>
              <w:pStyle w:val="64"/>
              <w:spacing w:line="240" w:lineRule="atLeas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材料设备品种</w:t>
            </w:r>
          </w:p>
        </w:tc>
        <w:tc>
          <w:tcPr>
            <w:tcW w:w="5772" w:type="dxa"/>
            <w:tcBorders>
              <w:top w:val="outset" w:color="auto" w:sz="6" w:space="0"/>
              <w:left w:val="outset" w:color="auto" w:sz="6" w:space="0"/>
              <w:bottom w:val="outset" w:color="auto" w:sz="6" w:space="0"/>
              <w:right w:val="outset" w:color="auto" w:sz="6" w:space="0"/>
            </w:tcBorders>
            <w:vAlign w:val="center"/>
          </w:tcPr>
          <w:p w14:paraId="561D456B">
            <w:pPr>
              <w:pStyle w:val="64"/>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参考品牌</w:t>
            </w:r>
          </w:p>
        </w:tc>
      </w:tr>
      <w:tr w14:paraId="45B66C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11431D9D">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薄壁不锈钢管</w:t>
            </w:r>
          </w:p>
        </w:tc>
        <w:tc>
          <w:tcPr>
            <w:tcW w:w="5772" w:type="dxa"/>
            <w:tcBorders>
              <w:top w:val="outset" w:color="auto" w:sz="6" w:space="0"/>
              <w:left w:val="outset" w:color="auto" w:sz="6" w:space="0"/>
              <w:bottom w:val="outset" w:color="auto" w:sz="6" w:space="0"/>
              <w:right w:val="outset" w:color="auto" w:sz="6" w:space="0"/>
            </w:tcBorders>
            <w:vAlign w:val="center"/>
          </w:tcPr>
          <w:p w14:paraId="049AF9F9">
            <w:pPr>
              <w:pStyle w:val="64"/>
              <w:spacing w:line="24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深圳雅昌、无锡金羊、宁波福兰特</w:t>
            </w:r>
          </w:p>
        </w:tc>
      </w:tr>
      <w:tr w14:paraId="42B9D3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5AFF680B">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钢塑复合管</w:t>
            </w:r>
          </w:p>
        </w:tc>
        <w:tc>
          <w:tcPr>
            <w:tcW w:w="5772" w:type="dxa"/>
            <w:tcBorders>
              <w:top w:val="outset" w:color="auto" w:sz="6" w:space="0"/>
              <w:left w:val="outset" w:color="auto" w:sz="6" w:space="0"/>
              <w:bottom w:val="outset" w:color="auto" w:sz="6" w:space="0"/>
              <w:right w:val="outset" w:color="auto" w:sz="6" w:space="0"/>
            </w:tcBorders>
            <w:vAlign w:val="center"/>
          </w:tcPr>
          <w:p w14:paraId="0E3FC948">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泰丰侨、珠江、华通</w:t>
            </w:r>
          </w:p>
        </w:tc>
      </w:tr>
      <w:tr w14:paraId="76D29D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6E26D714">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热镀锌钢管</w:t>
            </w:r>
          </w:p>
        </w:tc>
        <w:tc>
          <w:tcPr>
            <w:tcW w:w="5772" w:type="dxa"/>
            <w:tcBorders>
              <w:top w:val="outset" w:color="auto" w:sz="6" w:space="0"/>
              <w:left w:val="outset" w:color="auto" w:sz="6" w:space="0"/>
              <w:bottom w:val="outset" w:color="auto" w:sz="6" w:space="0"/>
              <w:right w:val="outset" w:color="auto" w:sz="6" w:space="0"/>
            </w:tcBorders>
            <w:vAlign w:val="center"/>
          </w:tcPr>
          <w:p w14:paraId="569AF0BB">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泰丰侨、珠江、华通</w:t>
            </w:r>
          </w:p>
        </w:tc>
      </w:tr>
      <w:tr w14:paraId="07C687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6EFC1632">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沟槽式连接件</w:t>
            </w:r>
          </w:p>
          <w:p w14:paraId="5B94BF0F">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（卡箍）</w:t>
            </w:r>
          </w:p>
        </w:tc>
        <w:tc>
          <w:tcPr>
            <w:tcW w:w="5772" w:type="dxa"/>
            <w:tcBorders>
              <w:top w:val="outset" w:color="auto" w:sz="6" w:space="0"/>
              <w:left w:val="outset" w:color="auto" w:sz="6" w:space="0"/>
              <w:bottom w:val="outset" w:color="auto" w:sz="6" w:space="0"/>
              <w:right w:val="outset" w:color="auto" w:sz="6" w:space="0"/>
            </w:tcBorders>
            <w:vAlign w:val="center"/>
          </w:tcPr>
          <w:p w14:paraId="3E6C28BD">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唯特利、亿百通、上海瑞孚</w:t>
            </w:r>
          </w:p>
        </w:tc>
      </w:tr>
      <w:tr w14:paraId="3250B8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51BC5F9B">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PVC-U给、排水管</w:t>
            </w:r>
          </w:p>
        </w:tc>
        <w:tc>
          <w:tcPr>
            <w:tcW w:w="5772" w:type="dxa"/>
            <w:tcBorders>
              <w:top w:val="outset" w:color="auto" w:sz="6" w:space="0"/>
              <w:left w:val="outset" w:color="auto" w:sz="6" w:space="0"/>
              <w:bottom w:val="outset" w:color="auto" w:sz="6" w:space="0"/>
              <w:right w:val="outset" w:color="auto" w:sz="6" w:space="0"/>
            </w:tcBorders>
            <w:vAlign w:val="center"/>
          </w:tcPr>
          <w:p w14:paraId="3EC60A4B">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联塑、中财、日丰</w:t>
            </w:r>
          </w:p>
        </w:tc>
      </w:tr>
      <w:tr w14:paraId="225A93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3503C856">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PP-R给水管</w:t>
            </w:r>
          </w:p>
        </w:tc>
        <w:tc>
          <w:tcPr>
            <w:tcW w:w="5772" w:type="dxa"/>
            <w:tcBorders>
              <w:top w:val="outset" w:color="auto" w:sz="6" w:space="0"/>
              <w:left w:val="outset" w:color="auto" w:sz="6" w:space="0"/>
              <w:bottom w:val="outset" w:color="auto" w:sz="6" w:space="0"/>
              <w:right w:val="outset" w:color="auto" w:sz="6" w:space="0"/>
            </w:tcBorders>
            <w:vAlign w:val="center"/>
          </w:tcPr>
          <w:p w14:paraId="3F36ECCC">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日丰、伟星、永高、联塑</w:t>
            </w:r>
          </w:p>
        </w:tc>
      </w:tr>
      <w:tr w14:paraId="71B01C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373FB633">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PE给水管</w:t>
            </w:r>
          </w:p>
        </w:tc>
        <w:tc>
          <w:tcPr>
            <w:tcW w:w="5772" w:type="dxa"/>
            <w:tcBorders>
              <w:top w:val="outset" w:color="auto" w:sz="6" w:space="0"/>
              <w:left w:val="outset" w:color="auto" w:sz="6" w:space="0"/>
              <w:bottom w:val="outset" w:color="auto" w:sz="6" w:space="0"/>
              <w:right w:val="outset" w:color="auto" w:sz="6" w:space="0"/>
            </w:tcBorders>
            <w:vAlign w:val="center"/>
          </w:tcPr>
          <w:p w14:paraId="5A819F79">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伟星、联塑、永高</w:t>
            </w:r>
          </w:p>
        </w:tc>
      </w:tr>
      <w:tr w14:paraId="58C029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right w:val="outset" w:color="auto" w:sz="6" w:space="0"/>
            </w:tcBorders>
            <w:vAlign w:val="center"/>
          </w:tcPr>
          <w:p w14:paraId="4B185AC8">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阀门（包括：消防阀门）</w:t>
            </w:r>
          </w:p>
        </w:tc>
        <w:tc>
          <w:tcPr>
            <w:tcW w:w="5772" w:type="dxa"/>
            <w:tcBorders>
              <w:top w:val="outset" w:color="auto" w:sz="6" w:space="0"/>
              <w:left w:val="outset" w:color="auto" w:sz="6" w:space="0"/>
              <w:bottom w:val="outset" w:color="auto" w:sz="6" w:space="0"/>
              <w:right w:val="outset" w:color="auto" w:sz="6" w:space="0"/>
            </w:tcBorders>
            <w:vAlign w:val="center"/>
          </w:tcPr>
          <w:p w14:paraId="128219A9">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德森（DESN）、上海冠龙、武汉大禹</w:t>
            </w:r>
          </w:p>
        </w:tc>
      </w:tr>
      <w:tr w14:paraId="102754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bottom w:val="outset" w:color="auto" w:sz="6" w:space="0"/>
              <w:right w:val="outset" w:color="auto" w:sz="6" w:space="0"/>
            </w:tcBorders>
            <w:vAlign w:val="center"/>
          </w:tcPr>
          <w:p w14:paraId="5BEC8060">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消火栓箱</w:t>
            </w:r>
          </w:p>
        </w:tc>
        <w:tc>
          <w:tcPr>
            <w:tcW w:w="5772" w:type="dxa"/>
            <w:tcBorders>
              <w:top w:val="outset" w:color="auto" w:sz="6" w:space="0"/>
              <w:left w:val="outset" w:color="auto" w:sz="6" w:space="0"/>
              <w:bottom w:val="outset" w:color="auto" w:sz="6" w:space="0"/>
              <w:right w:val="outset" w:color="auto" w:sz="6" w:space="0"/>
            </w:tcBorders>
            <w:vAlign w:val="center"/>
          </w:tcPr>
          <w:p w14:paraId="130FCB3F">
            <w:pPr>
              <w:pStyle w:val="6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香蜜湖、广东胜捷、桂安</w:t>
            </w:r>
          </w:p>
        </w:tc>
      </w:tr>
      <w:tr w14:paraId="67445D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bottom w:val="outset" w:color="auto" w:sz="6" w:space="0"/>
              <w:right w:val="outset" w:color="auto" w:sz="6" w:space="0"/>
            </w:tcBorders>
            <w:vAlign w:val="center"/>
          </w:tcPr>
          <w:p w14:paraId="2E71C03F">
            <w:pPr>
              <w:pStyle w:val="64"/>
              <w:spacing w:line="240" w:lineRule="atLeas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气体灭火、灭火器</w:t>
            </w:r>
          </w:p>
        </w:tc>
        <w:tc>
          <w:tcPr>
            <w:tcW w:w="5772" w:type="dxa"/>
            <w:tcBorders>
              <w:top w:val="outset" w:color="auto" w:sz="6" w:space="0"/>
              <w:left w:val="outset" w:color="auto" w:sz="6" w:space="0"/>
              <w:bottom w:val="outset" w:color="auto" w:sz="6" w:space="0"/>
              <w:right w:val="outset" w:color="auto" w:sz="6" w:space="0"/>
            </w:tcBorders>
            <w:vAlign w:val="center"/>
          </w:tcPr>
          <w:p w14:paraId="46512FEE">
            <w:pPr>
              <w:pStyle w:val="64"/>
              <w:spacing w:line="24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广东胜捷、上海金盾、桂安</w:t>
            </w:r>
          </w:p>
        </w:tc>
      </w:tr>
      <w:tr w14:paraId="5E9789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858" w:type="dxa"/>
            <w:tcBorders>
              <w:top w:val="outset" w:color="auto" w:sz="6" w:space="0"/>
              <w:left w:val="outset" w:color="auto" w:sz="6" w:space="0"/>
              <w:bottom w:val="outset" w:color="auto" w:sz="6" w:space="0"/>
              <w:right w:val="outset" w:color="auto" w:sz="6" w:space="0"/>
            </w:tcBorders>
            <w:vAlign w:val="center"/>
          </w:tcPr>
          <w:p w14:paraId="53B7E8C3">
            <w:pPr>
              <w:pStyle w:val="64"/>
              <w:spacing w:line="240" w:lineRule="atLeast"/>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卫浴</w:t>
            </w:r>
          </w:p>
        </w:tc>
        <w:tc>
          <w:tcPr>
            <w:tcW w:w="5772" w:type="dxa"/>
            <w:tcBorders>
              <w:top w:val="outset" w:color="auto" w:sz="6" w:space="0"/>
              <w:left w:val="outset" w:color="auto" w:sz="6" w:space="0"/>
              <w:bottom w:val="outset" w:color="auto" w:sz="6" w:space="0"/>
              <w:right w:val="outset" w:color="auto" w:sz="6" w:space="0"/>
            </w:tcBorders>
            <w:vAlign w:val="center"/>
          </w:tcPr>
          <w:p w14:paraId="72725F11">
            <w:pPr>
              <w:pStyle w:val="64"/>
              <w:spacing w:line="240" w:lineRule="atLeas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恒洁、箭牌、九牧</w:t>
            </w:r>
          </w:p>
        </w:tc>
      </w:tr>
    </w:tbl>
    <w:p w14:paraId="3A70F924">
      <w:pPr>
        <w:pStyle w:val="64"/>
        <w:spacing w:line="240" w:lineRule="atLeast"/>
        <w:rPr>
          <w:rFonts w:ascii="仿宋_GB2312" w:eastAsia="仿宋_GB2312"/>
          <w:color w:val="000000" w:themeColor="text1"/>
          <w:szCs w:val="21"/>
          <w:highlight w:val="none"/>
          <w14:textFill>
            <w14:solidFill>
              <w14:schemeClr w14:val="tx1"/>
            </w14:solidFill>
          </w14:textFill>
        </w:rPr>
      </w:pPr>
    </w:p>
    <w:p w14:paraId="71FAC1B8">
      <w:pPr>
        <w:pStyle w:val="64"/>
        <w:spacing w:line="240" w:lineRule="atLeast"/>
        <w:rPr>
          <w:rFonts w:ascii="仿宋_GB2312" w:eastAsia="仿宋_GB2312"/>
          <w:color w:val="000000" w:themeColor="text1"/>
          <w:szCs w:val="21"/>
          <w:highlight w:val="none"/>
          <w14:textFill>
            <w14:solidFill>
              <w14:schemeClr w14:val="tx1"/>
            </w14:solidFill>
          </w14:textFill>
        </w:rPr>
      </w:pPr>
    </w:p>
    <w:p w14:paraId="76246877">
      <w:pPr>
        <w:pStyle w:val="64"/>
        <w:spacing w:line="240" w:lineRule="atLeast"/>
        <w:rPr>
          <w:rFonts w:ascii="仿宋_GB2312" w:eastAsia="仿宋_GB2312"/>
          <w:color w:val="000000" w:themeColor="text1"/>
          <w:szCs w:val="21"/>
          <w:highlight w:val="none"/>
          <w14:textFill>
            <w14:solidFill>
              <w14:schemeClr w14:val="tx1"/>
            </w14:solidFill>
          </w14:textFill>
        </w:rPr>
      </w:pPr>
    </w:p>
    <w:p w14:paraId="7A984145">
      <w:pPr>
        <w:rPr>
          <w:color w:val="000000" w:themeColor="text1"/>
          <w:szCs w:val="21"/>
          <w:highlight w:val="none"/>
          <w14:textFill>
            <w14:solidFill>
              <w14:schemeClr w14:val="tx1"/>
            </w14:solidFill>
          </w14:textFill>
        </w:rPr>
      </w:pPr>
    </w:p>
    <w:sectPr>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9A56">
    <w:pPr>
      <w:pStyle w:val="24"/>
      <w:jc w:val="center"/>
    </w:pPr>
    <w:r>
      <w:rPr>
        <w:rFonts w:hint="eastAsia"/>
      </w:rPr>
      <w:t>第</w:t>
    </w:r>
    <w:sdt>
      <w:sdtPr>
        <w:id w:val="-553084158"/>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25</w:t>
            </w:r>
            <w:r>
              <w:rPr>
                <w:b/>
                <w:bCs/>
                <w:sz w:val="24"/>
                <w:szCs w:val="24"/>
              </w:rPr>
              <w:fldChar w:fldCharType="end"/>
            </w:r>
          </w:sdtContent>
        </w:sdt>
        <w:r>
          <w:t xml:space="preserve"> </w:t>
        </w:r>
        <w:r>
          <w:rPr>
            <w:rFonts w:hint="eastAsia"/>
          </w:rPr>
          <w:t>页</w:t>
        </w:r>
      </w:sdtContent>
    </w:sdt>
  </w:p>
  <w:p w14:paraId="5CE9D25E">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A71D2"/>
    <w:multiLevelType w:val="singleLevel"/>
    <w:tmpl w:val="8FDA71D2"/>
    <w:lvl w:ilvl="0" w:tentative="0">
      <w:start w:val="1"/>
      <w:numFmt w:val="chineseCounting"/>
      <w:suff w:val="nothing"/>
      <w:lvlText w:val="（%1）"/>
      <w:lvlJc w:val="left"/>
      <w:pPr>
        <w:ind w:left="0" w:firstLine="420"/>
      </w:pPr>
      <w:rPr>
        <w:rFonts w:hint="eastAsia"/>
      </w:rPr>
    </w:lvl>
  </w:abstractNum>
  <w:abstractNum w:abstractNumId="1">
    <w:nsid w:val="96F1E044"/>
    <w:multiLevelType w:val="singleLevel"/>
    <w:tmpl w:val="96F1E044"/>
    <w:lvl w:ilvl="0" w:tentative="0">
      <w:start w:val="1"/>
      <w:numFmt w:val="decimal"/>
      <w:lvlText w:val="(%1)"/>
      <w:lvlJc w:val="left"/>
      <w:pPr>
        <w:ind w:left="425" w:hanging="425"/>
      </w:pPr>
      <w:rPr>
        <w:rFonts w:hint="default"/>
      </w:rPr>
    </w:lvl>
  </w:abstractNum>
  <w:abstractNum w:abstractNumId="2">
    <w:nsid w:val="9B64940F"/>
    <w:multiLevelType w:val="singleLevel"/>
    <w:tmpl w:val="9B64940F"/>
    <w:lvl w:ilvl="0" w:tentative="0">
      <w:start w:val="1"/>
      <w:numFmt w:val="decimal"/>
      <w:lvlText w:val="%1."/>
      <w:lvlJc w:val="left"/>
      <w:pPr>
        <w:ind w:left="425" w:hanging="425"/>
      </w:pPr>
      <w:rPr>
        <w:rFonts w:hint="default"/>
      </w:rPr>
    </w:lvl>
  </w:abstractNum>
  <w:abstractNum w:abstractNumId="3">
    <w:nsid w:val="9BF18129"/>
    <w:multiLevelType w:val="singleLevel"/>
    <w:tmpl w:val="9BF18129"/>
    <w:lvl w:ilvl="0" w:tentative="0">
      <w:start w:val="1"/>
      <w:numFmt w:val="chineseCounting"/>
      <w:suff w:val="nothing"/>
      <w:lvlText w:val="（%1）"/>
      <w:lvlJc w:val="left"/>
      <w:pPr>
        <w:ind w:left="0" w:firstLine="420"/>
      </w:pPr>
      <w:rPr>
        <w:rFonts w:hint="eastAsia"/>
      </w:rPr>
    </w:lvl>
  </w:abstractNum>
  <w:abstractNum w:abstractNumId="4">
    <w:nsid w:val="A6CE80E6"/>
    <w:multiLevelType w:val="singleLevel"/>
    <w:tmpl w:val="A6CE80E6"/>
    <w:lvl w:ilvl="0" w:tentative="0">
      <w:start w:val="1"/>
      <w:numFmt w:val="chineseCounting"/>
      <w:suff w:val="nothing"/>
      <w:lvlText w:val="（%1）"/>
      <w:lvlJc w:val="left"/>
      <w:pPr>
        <w:ind w:left="0" w:firstLine="420"/>
      </w:pPr>
      <w:rPr>
        <w:rFonts w:hint="eastAsia"/>
      </w:rPr>
    </w:lvl>
  </w:abstractNum>
  <w:abstractNum w:abstractNumId="5">
    <w:nsid w:val="B3E8375D"/>
    <w:multiLevelType w:val="singleLevel"/>
    <w:tmpl w:val="B3E8375D"/>
    <w:lvl w:ilvl="0" w:tentative="0">
      <w:start w:val="1"/>
      <w:numFmt w:val="chineseCounting"/>
      <w:suff w:val="nothing"/>
      <w:lvlText w:val="（%1）"/>
      <w:lvlJc w:val="left"/>
      <w:pPr>
        <w:ind w:left="0" w:firstLine="420"/>
      </w:pPr>
      <w:rPr>
        <w:rFonts w:hint="eastAsia"/>
      </w:rPr>
    </w:lvl>
  </w:abstractNum>
  <w:abstractNum w:abstractNumId="6">
    <w:nsid w:val="DA958720"/>
    <w:multiLevelType w:val="singleLevel"/>
    <w:tmpl w:val="DA958720"/>
    <w:lvl w:ilvl="0" w:tentative="0">
      <w:start w:val="1"/>
      <w:numFmt w:val="decimal"/>
      <w:lvlText w:val="%1."/>
      <w:lvlJc w:val="left"/>
      <w:pPr>
        <w:tabs>
          <w:tab w:val="left" w:pos="312"/>
        </w:tabs>
      </w:pPr>
    </w:lvl>
  </w:abstractNum>
  <w:abstractNum w:abstractNumId="7">
    <w:nsid w:val="ECD4543E"/>
    <w:multiLevelType w:val="singleLevel"/>
    <w:tmpl w:val="ECD4543E"/>
    <w:lvl w:ilvl="0" w:tentative="0">
      <w:start w:val="1"/>
      <w:numFmt w:val="chineseCounting"/>
      <w:suff w:val="nothing"/>
      <w:lvlText w:val="（%1）"/>
      <w:lvlJc w:val="left"/>
      <w:pPr>
        <w:ind w:left="0" w:firstLine="420"/>
      </w:pPr>
      <w:rPr>
        <w:rFonts w:hint="eastAsia"/>
      </w:rPr>
    </w:lvl>
  </w:abstractNum>
  <w:abstractNum w:abstractNumId="8">
    <w:nsid w:val="F672AEEC"/>
    <w:multiLevelType w:val="singleLevel"/>
    <w:tmpl w:val="F672AEEC"/>
    <w:lvl w:ilvl="0" w:tentative="0">
      <w:start w:val="1"/>
      <w:numFmt w:val="chineseCounting"/>
      <w:suff w:val="nothing"/>
      <w:lvlText w:val="（%1）"/>
      <w:lvlJc w:val="left"/>
      <w:pPr>
        <w:ind w:left="0" w:firstLine="420"/>
      </w:pPr>
      <w:rPr>
        <w:rFonts w:hint="eastAsia"/>
      </w:rPr>
    </w:lvl>
  </w:abstractNum>
  <w:abstractNum w:abstractNumId="9">
    <w:nsid w:val="0EBA2D82"/>
    <w:multiLevelType w:val="singleLevel"/>
    <w:tmpl w:val="0EBA2D82"/>
    <w:lvl w:ilvl="0" w:tentative="0">
      <w:start w:val="1"/>
      <w:numFmt w:val="chineseCounting"/>
      <w:suff w:val="nothing"/>
      <w:lvlText w:val="（%1）"/>
      <w:lvlJc w:val="left"/>
      <w:pPr>
        <w:ind w:left="0" w:firstLine="420"/>
      </w:pPr>
      <w:rPr>
        <w:rFonts w:hint="eastAsia"/>
      </w:rPr>
    </w:lvl>
  </w:abstractNum>
  <w:abstractNum w:abstractNumId="10">
    <w:nsid w:val="151D5849"/>
    <w:multiLevelType w:val="singleLevel"/>
    <w:tmpl w:val="151D5849"/>
    <w:lvl w:ilvl="0" w:tentative="0">
      <w:start w:val="1"/>
      <w:numFmt w:val="chineseCounting"/>
      <w:suff w:val="nothing"/>
      <w:lvlText w:val="（%1）"/>
      <w:lvlJc w:val="left"/>
      <w:pPr>
        <w:ind w:left="0" w:firstLine="420"/>
      </w:pPr>
      <w:rPr>
        <w:rFonts w:hint="eastAsia"/>
      </w:rPr>
    </w:lvl>
  </w:abstractNum>
  <w:abstractNum w:abstractNumId="11">
    <w:nsid w:val="23903DED"/>
    <w:multiLevelType w:val="singleLevel"/>
    <w:tmpl w:val="23903DED"/>
    <w:lvl w:ilvl="0" w:tentative="0">
      <w:start w:val="1"/>
      <w:numFmt w:val="decimal"/>
      <w:lvlText w:val="%1."/>
      <w:lvlJc w:val="left"/>
      <w:pPr>
        <w:ind w:left="425" w:hanging="425"/>
      </w:pPr>
      <w:rPr>
        <w:rFonts w:hint="default"/>
      </w:rPr>
    </w:lvl>
  </w:abstractNum>
  <w:abstractNum w:abstractNumId="12">
    <w:nsid w:val="258A4BDD"/>
    <w:multiLevelType w:val="multilevel"/>
    <w:tmpl w:val="258A4BDD"/>
    <w:lvl w:ilvl="0" w:tentative="0">
      <w:start w:val="1"/>
      <w:numFmt w:val="decimal"/>
      <w:suff w:val="nothing"/>
      <w:lvlText w:val="%1、"/>
      <w:lvlJc w:val="left"/>
      <w:pPr>
        <w:ind w:left="679" w:firstLine="3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3">
    <w:nsid w:val="3B7CFF41"/>
    <w:multiLevelType w:val="singleLevel"/>
    <w:tmpl w:val="3B7CFF41"/>
    <w:lvl w:ilvl="0" w:tentative="0">
      <w:start w:val="1"/>
      <w:numFmt w:val="chineseCounting"/>
      <w:suff w:val="nothing"/>
      <w:lvlText w:val="（%1）"/>
      <w:lvlJc w:val="left"/>
      <w:pPr>
        <w:ind w:left="0" w:firstLine="420"/>
      </w:pPr>
      <w:rPr>
        <w:rFonts w:hint="eastAsia"/>
      </w:rPr>
    </w:lvl>
  </w:abstractNum>
  <w:abstractNum w:abstractNumId="14">
    <w:nsid w:val="42063E26"/>
    <w:multiLevelType w:val="singleLevel"/>
    <w:tmpl w:val="42063E26"/>
    <w:lvl w:ilvl="0" w:tentative="0">
      <w:start w:val="1"/>
      <w:numFmt w:val="chineseCounting"/>
      <w:suff w:val="nothing"/>
      <w:lvlText w:val="%1、"/>
      <w:lvlJc w:val="left"/>
      <w:pPr>
        <w:ind w:left="0" w:firstLine="420"/>
      </w:pPr>
      <w:rPr>
        <w:rFonts w:hint="eastAsia"/>
      </w:rPr>
    </w:lvl>
  </w:abstractNum>
  <w:abstractNum w:abstractNumId="15">
    <w:nsid w:val="4C79018F"/>
    <w:multiLevelType w:val="multilevel"/>
    <w:tmpl w:val="4C79018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E2A6AB9"/>
    <w:multiLevelType w:val="singleLevel"/>
    <w:tmpl w:val="4E2A6AB9"/>
    <w:lvl w:ilvl="0" w:tentative="0">
      <w:start w:val="1"/>
      <w:numFmt w:val="chineseCounting"/>
      <w:suff w:val="nothing"/>
      <w:lvlText w:val="（%1）"/>
      <w:lvlJc w:val="left"/>
      <w:pPr>
        <w:ind w:left="0" w:firstLine="420"/>
      </w:pPr>
      <w:rPr>
        <w:rFonts w:hint="eastAsia"/>
        <w:lang w:val="en-US"/>
      </w:rPr>
    </w:lvl>
  </w:abstractNum>
  <w:abstractNum w:abstractNumId="17">
    <w:nsid w:val="53ECD129"/>
    <w:multiLevelType w:val="singleLevel"/>
    <w:tmpl w:val="53ECD129"/>
    <w:lvl w:ilvl="0" w:tentative="0">
      <w:start w:val="1"/>
      <w:numFmt w:val="chineseCounting"/>
      <w:suff w:val="nothing"/>
      <w:lvlText w:val="%1、"/>
      <w:lvlJc w:val="left"/>
      <w:pPr>
        <w:ind w:left="0" w:firstLine="420"/>
      </w:pPr>
      <w:rPr>
        <w:rFonts w:hint="eastAsia"/>
      </w:rPr>
    </w:lvl>
  </w:abstractNum>
  <w:abstractNum w:abstractNumId="18">
    <w:nsid w:val="7EE3FDE4"/>
    <w:multiLevelType w:val="singleLevel"/>
    <w:tmpl w:val="7EE3FDE4"/>
    <w:lvl w:ilvl="0" w:tentative="0">
      <w:start w:val="1"/>
      <w:numFmt w:val="decimal"/>
      <w:lvlText w:val="%1."/>
      <w:lvlJc w:val="left"/>
      <w:pPr>
        <w:ind w:left="425" w:hanging="425"/>
      </w:pPr>
      <w:rPr>
        <w:rFonts w:hint="default"/>
      </w:rPr>
    </w:lvl>
  </w:abstractNum>
  <w:num w:numId="1">
    <w:abstractNumId w:val="14"/>
  </w:num>
  <w:num w:numId="2">
    <w:abstractNumId w:val="4"/>
  </w:num>
  <w:num w:numId="3">
    <w:abstractNumId w:val="5"/>
  </w:num>
  <w:num w:numId="4">
    <w:abstractNumId w:val="16"/>
  </w:num>
  <w:num w:numId="5">
    <w:abstractNumId w:val="13"/>
  </w:num>
  <w:num w:numId="6">
    <w:abstractNumId w:val="0"/>
  </w:num>
  <w:num w:numId="7">
    <w:abstractNumId w:val="10"/>
  </w:num>
  <w:num w:numId="8">
    <w:abstractNumId w:val="8"/>
  </w:num>
  <w:num w:numId="9">
    <w:abstractNumId w:val="17"/>
  </w:num>
  <w:num w:numId="10">
    <w:abstractNumId w:val="7"/>
  </w:num>
  <w:num w:numId="11">
    <w:abstractNumId w:val="9"/>
  </w:num>
  <w:num w:numId="12">
    <w:abstractNumId w:val="3"/>
  </w:num>
  <w:num w:numId="13">
    <w:abstractNumId w:val="2"/>
  </w:num>
  <w:num w:numId="14">
    <w:abstractNumId w:val="1"/>
  </w:num>
  <w:num w:numId="15">
    <w:abstractNumId w:val="11"/>
  </w:num>
  <w:num w:numId="16">
    <w:abstractNumId w:val="18"/>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hNTAwZDY2OTcwNzU1MGM2OGUyNzI4ZjFhNWVmYWEifQ=="/>
    <w:docVar w:name="KSO_WPS_MARK_KEY" w:val="f4e527aa-7104-4dd6-8ee9-e22a84a723fa"/>
  </w:docVars>
  <w:rsids>
    <w:rsidRoot w:val="00BA0C1A"/>
    <w:rsid w:val="00002BA9"/>
    <w:rsid w:val="0001053D"/>
    <w:rsid w:val="000232DF"/>
    <w:rsid w:val="000331CB"/>
    <w:rsid w:val="00037595"/>
    <w:rsid w:val="0003793F"/>
    <w:rsid w:val="00041E6F"/>
    <w:rsid w:val="00043659"/>
    <w:rsid w:val="00044578"/>
    <w:rsid w:val="000449C1"/>
    <w:rsid w:val="00050D95"/>
    <w:rsid w:val="00054F4B"/>
    <w:rsid w:val="0006495B"/>
    <w:rsid w:val="00075600"/>
    <w:rsid w:val="000917E4"/>
    <w:rsid w:val="000A4AED"/>
    <w:rsid w:val="000A4F13"/>
    <w:rsid w:val="000C11BC"/>
    <w:rsid w:val="000C51B7"/>
    <w:rsid w:val="000C51DC"/>
    <w:rsid w:val="000C7F9C"/>
    <w:rsid w:val="000D4BCD"/>
    <w:rsid w:val="000E32C5"/>
    <w:rsid w:val="000E4413"/>
    <w:rsid w:val="000E55A7"/>
    <w:rsid w:val="000E72FC"/>
    <w:rsid w:val="000F0C0F"/>
    <w:rsid w:val="000F2409"/>
    <w:rsid w:val="001018EC"/>
    <w:rsid w:val="001066D1"/>
    <w:rsid w:val="00142422"/>
    <w:rsid w:val="00147822"/>
    <w:rsid w:val="00153F4E"/>
    <w:rsid w:val="00163720"/>
    <w:rsid w:val="001671CE"/>
    <w:rsid w:val="0018061A"/>
    <w:rsid w:val="001854C1"/>
    <w:rsid w:val="00193B3B"/>
    <w:rsid w:val="001C163F"/>
    <w:rsid w:val="001C26B1"/>
    <w:rsid w:val="001C49DD"/>
    <w:rsid w:val="001C67B3"/>
    <w:rsid w:val="001D5D08"/>
    <w:rsid w:val="001D7CC0"/>
    <w:rsid w:val="001E35DD"/>
    <w:rsid w:val="001E733A"/>
    <w:rsid w:val="001F3A55"/>
    <w:rsid w:val="001F59F6"/>
    <w:rsid w:val="00216EB9"/>
    <w:rsid w:val="00224823"/>
    <w:rsid w:val="002273E2"/>
    <w:rsid w:val="00230C75"/>
    <w:rsid w:val="002333D7"/>
    <w:rsid w:val="00240BB2"/>
    <w:rsid w:val="00271B28"/>
    <w:rsid w:val="00292FA7"/>
    <w:rsid w:val="0029496D"/>
    <w:rsid w:val="00295E91"/>
    <w:rsid w:val="002A4A73"/>
    <w:rsid w:val="002A6F62"/>
    <w:rsid w:val="002C7221"/>
    <w:rsid w:val="002D3B46"/>
    <w:rsid w:val="002D4FEA"/>
    <w:rsid w:val="002E0E17"/>
    <w:rsid w:val="002E42CD"/>
    <w:rsid w:val="002E6D32"/>
    <w:rsid w:val="002E6DED"/>
    <w:rsid w:val="002F48BD"/>
    <w:rsid w:val="002F4AB8"/>
    <w:rsid w:val="00301BF1"/>
    <w:rsid w:val="00301EAB"/>
    <w:rsid w:val="0030564E"/>
    <w:rsid w:val="003060E3"/>
    <w:rsid w:val="00313EAD"/>
    <w:rsid w:val="003150D0"/>
    <w:rsid w:val="003170DA"/>
    <w:rsid w:val="003222A2"/>
    <w:rsid w:val="00322733"/>
    <w:rsid w:val="0032529D"/>
    <w:rsid w:val="0032575B"/>
    <w:rsid w:val="00334E98"/>
    <w:rsid w:val="00337C15"/>
    <w:rsid w:val="00354FBD"/>
    <w:rsid w:val="0036290E"/>
    <w:rsid w:val="00363F9C"/>
    <w:rsid w:val="00366C8F"/>
    <w:rsid w:val="0038205E"/>
    <w:rsid w:val="003827F7"/>
    <w:rsid w:val="00383486"/>
    <w:rsid w:val="003A5AF2"/>
    <w:rsid w:val="003C13B1"/>
    <w:rsid w:val="003F4A9B"/>
    <w:rsid w:val="003F5A5C"/>
    <w:rsid w:val="004006DE"/>
    <w:rsid w:val="00403EFB"/>
    <w:rsid w:val="00407CC0"/>
    <w:rsid w:val="00416880"/>
    <w:rsid w:val="0042096A"/>
    <w:rsid w:val="00431D6F"/>
    <w:rsid w:val="00435E59"/>
    <w:rsid w:val="00435F37"/>
    <w:rsid w:val="00436F99"/>
    <w:rsid w:val="00481C67"/>
    <w:rsid w:val="004A2EFD"/>
    <w:rsid w:val="004A604E"/>
    <w:rsid w:val="004B08CE"/>
    <w:rsid w:val="004B1533"/>
    <w:rsid w:val="004B7E0E"/>
    <w:rsid w:val="004C3C46"/>
    <w:rsid w:val="004C3EC8"/>
    <w:rsid w:val="004D7817"/>
    <w:rsid w:val="004E386B"/>
    <w:rsid w:val="004E3F73"/>
    <w:rsid w:val="004E7833"/>
    <w:rsid w:val="004F0308"/>
    <w:rsid w:val="004F0DC7"/>
    <w:rsid w:val="00500325"/>
    <w:rsid w:val="00503C27"/>
    <w:rsid w:val="00503D53"/>
    <w:rsid w:val="005052EB"/>
    <w:rsid w:val="00505E4A"/>
    <w:rsid w:val="00512A85"/>
    <w:rsid w:val="00514940"/>
    <w:rsid w:val="00514C94"/>
    <w:rsid w:val="0051568A"/>
    <w:rsid w:val="00520EDF"/>
    <w:rsid w:val="00521836"/>
    <w:rsid w:val="00524F74"/>
    <w:rsid w:val="00530918"/>
    <w:rsid w:val="00546FD8"/>
    <w:rsid w:val="005572A2"/>
    <w:rsid w:val="00561E64"/>
    <w:rsid w:val="0057172B"/>
    <w:rsid w:val="00574E61"/>
    <w:rsid w:val="00583C3B"/>
    <w:rsid w:val="00591F83"/>
    <w:rsid w:val="00594A9C"/>
    <w:rsid w:val="0059531B"/>
    <w:rsid w:val="005A61B6"/>
    <w:rsid w:val="005B3F5F"/>
    <w:rsid w:val="005B4756"/>
    <w:rsid w:val="005C351A"/>
    <w:rsid w:val="005E42D8"/>
    <w:rsid w:val="005E4392"/>
    <w:rsid w:val="005F2063"/>
    <w:rsid w:val="005F5A12"/>
    <w:rsid w:val="005F61B9"/>
    <w:rsid w:val="00601351"/>
    <w:rsid w:val="0060490E"/>
    <w:rsid w:val="0060789F"/>
    <w:rsid w:val="0061016B"/>
    <w:rsid w:val="00614C9E"/>
    <w:rsid w:val="00616505"/>
    <w:rsid w:val="0062213C"/>
    <w:rsid w:val="00625FB1"/>
    <w:rsid w:val="00627AB6"/>
    <w:rsid w:val="00631A8F"/>
    <w:rsid w:val="00633F40"/>
    <w:rsid w:val="00636591"/>
    <w:rsid w:val="006549AD"/>
    <w:rsid w:val="00661ABE"/>
    <w:rsid w:val="00662A11"/>
    <w:rsid w:val="0066759B"/>
    <w:rsid w:val="00672049"/>
    <w:rsid w:val="00684D9C"/>
    <w:rsid w:val="00690F9E"/>
    <w:rsid w:val="006A0EFF"/>
    <w:rsid w:val="006B3B05"/>
    <w:rsid w:val="006B4696"/>
    <w:rsid w:val="006B5D53"/>
    <w:rsid w:val="006B71FF"/>
    <w:rsid w:val="006C0A9A"/>
    <w:rsid w:val="006D144D"/>
    <w:rsid w:val="006E405F"/>
    <w:rsid w:val="006F36E4"/>
    <w:rsid w:val="006F400A"/>
    <w:rsid w:val="00701122"/>
    <w:rsid w:val="00701B7A"/>
    <w:rsid w:val="00702557"/>
    <w:rsid w:val="007038FA"/>
    <w:rsid w:val="0070776D"/>
    <w:rsid w:val="00713D56"/>
    <w:rsid w:val="00717D9A"/>
    <w:rsid w:val="007235C6"/>
    <w:rsid w:val="00726F5C"/>
    <w:rsid w:val="00741FA1"/>
    <w:rsid w:val="007430CC"/>
    <w:rsid w:val="007677DF"/>
    <w:rsid w:val="0077412E"/>
    <w:rsid w:val="00774E6D"/>
    <w:rsid w:val="00775ADC"/>
    <w:rsid w:val="00782636"/>
    <w:rsid w:val="007B4EE9"/>
    <w:rsid w:val="007B5CA7"/>
    <w:rsid w:val="007B6886"/>
    <w:rsid w:val="007C32BD"/>
    <w:rsid w:val="007C367E"/>
    <w:rsid w:val="007C4843"/>
    <w:rsid w:val="007C7C2F"/>
    <w:rsid w:val="007D1027"/>
    <w:rsid w:val="007F0139"/>
    <w:rsid w:val="007F211A"/>
    <w:rsid w:val="007F31F5"/>
    <w:rsid w:val="00813E87"/>
    <w:rsid w:val="008201D6"/>
    <w:rsid w:val="00823734"/>
    <w:rsid w:val="00835B6D"/>
    <w:rsid w:val="00836466"/>
    <w:rsid w:val="008442F6"/>
    <w:rsid w:val="00845216"/>
    <w:rsid w:val="00851DC6"/>
    <w:rsid w:val="00853C4C"/>
    <w:rsid w:val="00854377"/>
    <w:rsid w:val="008572E5"/>
    <w:rsid w:val="0086592D"/>
    <w:rsid w:val="0087121C"/>
    <w:rsid w:val="00873BEB"/>
    <w:rsid w:val="00877969"/>
    <w:rsid w:val="00893F11"/>
    <w:rsid w:val="00895A39"/>
    <w:rsid w:val="008A1E34"/>
    <w:rsid w:val="008B27BB"/>
    <w:rsid w:val="008C7BF2"/>
    <w:rsid w:val="008E6C10"/>
    <w:rsid w:val="008F4A5E"/>
    <w:rsid w:val="00903AB9"/>
    <w:rsid w:val="00914F4C"/>
    <w:rsid w:val="00932940"/>
    <w:rsid w:val="00941595"/>
    <w:rsid w:val="00944126"/>
    <w:rsid w:val="009443A1"/>
    <w:rsid w:val="00945679"/>
    <w:rsid w:val="009572E8"/>
    <w:rsid w:val="00960335"/>
    <w:rsid w:val="009603FB"/>
    <w:rsid w:val="009763FD"/>
    <w:rsid w:val="00980264"/>
    <w:rsid w:val="00983263"/>
    <w:rsid w:val="00990128"/>
    <w:rsid w:val="0099083D"/>
    <w:rsid w:val="00990C37"/>
    <w:rsid w:val="009B4C58"/>
    <w:rsid w:val="009B6E9F"/>
    <w:rsid w:val="009B72BE"/>
    <w:rsid w:val="009D0187"/>
    <w:rsid w:val="009F2152"/>
    <w:rsid w:val="00A00344"/>
    <w:rsid w:val="00A00F6A"/>
    <w:rsid w:val="00A0392D"/>
    <w:rsid w:val="00A25635"/>
    <w:rsid w:val="00A26CA4"/>
    <w:rsid w:val="00A31644"/>
    <w:rsid w:val="00A329BC"/>
    <w:rsid w:val="00A34940"/>
    <w:rsid w:val="00A564C5"/>
    <w:rsid w:val="00A57837"/>
    <w:rsid w:val="00A60633"/>
    <w:rsid w:val="00A71E53"/>
    <w:rsid w:val="00A72636"/>
    <w:rsid w:val="00A76C06"/>
    <w:rsid w:val="00A927D4"/>
    <w:rsid w:val="00AA1727"/>
    <w:rsid w:val="00AB086B"/>
    <w:rsid w:val="00AC1C52"/>
    <w:rsid w:val="00AC3EB8"/>
    <w:rsid w:val="00AC5BAD"/>
    <w:rsid w:val="00AD1378"/>
    <w:rsid w:val="00AD7D93"/>
    <w:rsid w:val="00AE65F5"/>
    <w:rsid w:val="00AE6E21"/>
    <w:rsid w:val="00B051F8"/>
    <w:rsid w:val="00B05F79"/>
    <w:rsid w:val="00B07BEF"/>
    <w:rsid w:val="00B13271"/>
    <w:rsid w:val="00B23983"/>
    <w:rsid w:val="00B24E8C"/>
    <w:rsid w:val="00B27A4D"/>
    <w:rsid w:val="00B37548"/>
    <w:rsid w:val="00B403F7"/>
    <w:rsid w:val="00B62701"/>
    <w:rsid w:val="00B66638"/>
    <w:rsid w:val="00B70EC1"/>
    <w:rsid w:val="00B71377"/>
    <w:rsid w:val="00B85699"/>
    <w:rsid w:val="00B86073"/>
    <w:rsid w:val="00B86BF7"/>
    <w:rsid w:val="00B972EA"/>
    <w:rsid w:val="00BA0C1A"/>
    <w:rsid w:val="00BB5FAF"/>
    <w:rsid w:val="00BB7D2E"/>
    <w:rsid w:val="00BC39B0"/>
    <w:rsid w:val="00BC52CC"/>
    <w:rsid w:val="00BE6FAA"/>
    <w:rsid w:val="00BF32F2"/>
    <w:rsid w:val="00BF4E37"/>
    <w:rsid w:val="00C01D38"/>
    <w:rsid w:val="00C061CB"/>
    <w:rsid w:val="00C06E4F"/>
    <w:rsid w:val="00C07AAB"/>
    <w:rsid w:val="00C1191F"/>
    <w:rsid w:val="00C13421"/>
    <w:rsid w:val="00C15680"/>
    <w:rsid w:val="00C20FC2"/>
    <w:rsid w:val="00C31BE2"/>
    <w:rsid w:val="00C355FD"/>
    <w:rsid w:val="00C3614E"/>
    <w:rsid w:val="00C46598"/>
    <w:rsid w:val="00C46DE3"/>
    <w:rsid w:val="00C4762A"/>
    <w:rsid w:val="00C546F5"/>
    <w:rsid w:val="00C604EC"/>
    <w:rsid w:val="00C713E3"/>
    <w:rsid w:val="00C763B2"/>
    <w:rsid w:val="00C9159D"/>
    <w:rsid w:val="00CB264D"/>
    <w:rsid w:val="00CB66EE"/>
    <w:rsid w:val="00CB7693"/>
    <w:rsid w:val="00CC54B5"/>
    <w:rsid w:val="00CC69AB"/>
    <w:rsid w:val="00CD51FF"/>
    <w:rsid w:val="00CE00A2"/>
    <w:rsid w:val="00CE0588"/>
    <w:rsid w:val="00CE66F5"/>
    <w:rsid w:val="00CF515A"/>
    <w:rsid w:val="00D02D02"/>
    <w:rsid w:val="00D12D35"/>
    <w:rsid w:val="00D522AA"/>
    <w:rsid w:val="00D6016A"/>
    <w:rsid w:val="00D616A9"/>
    <w:rsid w:val="00D633FE"/>
    <w:rsid w:val="00D80192"/>
    <w:rsid w:val="00D90427"/>
    <w:rsid w:val="00DA311E"/>
    <w:rsid w:val="00DA572C"/>
    <w:rsid w:val="00DA79E7"/>
    <w:rsid w:val="00DB0159"/>
    <w:rsid w:val="00DB300A"/>
    <w:rsid w:val="00DB424B"/>
    <w:rsid w:val="00DC4CD8"/>
    <w:rsid w:val="00DD068C"/>
    <w:rsid w:val="00DD44D8"/>
    <w:rsid w:val="00DE0310"/>
    <w:rsid w:val="00DE44FA"/>
    <w:rsid w:val="00DF2D57"/>
    <w:rsid w:val="00DF2F67"/>
    <w:rsid w:val="00E05FAE"/>
    <w:rsid w:val="00E062D5"/>
    <w:rsid w:val="00E11EA4"/>
    <w:rsid w:val="00E14D3C"/>
    <w:rsid w:val="00E21388"/>
    <w:rsid w:val="00E26251"/>
    <w:rsid w:val="00E26E29"/>
    <w:rsid w:val="00E30244"/>
    <w:rsid w:val="00E31955"/>
    <w:rsid w:val="00E33721"/>
    <w:rsid w:val="00E362F6"/>
    <w:rsid w:val="00E430D6"/>
    <w:rsid w:val="00E43413"/>
    <w:rsid w:val="00E56260"/>
    <w:rsid w:val="00E6702C"/>
    <w:rsid w:val="00E71C8C"/>
    <w:rsid w:val="00E80B2B"/>
    <w:rsid w:val="00EA0AF5"/>
    <w:rsid w:val="00EA1EE8"/>
    <w:rsid w:val="00EA2883"/>
    <w:rsid w:val="00EA4494"/>
    <w:rsid w:val="00EA6B11"/>
    <w:rsid w:val="00EB2EDE"/>
    <w:rsid w:val="00EB50C6"/>
    <w:rsid w:val="00EC2113"/>
    <w:rsid w:val="00EE4FE5"/>
    <w:rsid w:val="00EF3393"/>
    <w:rsid w:val="00F072DB"/>
    <w:rsid w:val="00F21C59"/>
    <w:rsid w:val="00F254AC"/>
    <w:rsid w:val="00F31099"/>
    <w:rsid w:val="00F33422"/>
    <w:rsid w:val="00F44EDC"/>
    <w:rsid w:val="00F53662"/>
    <w:rsid w:val="00F574F2"/>
    <w:rsid w:val="00F61C4F"/>
    <w:rsid w:val="00F628A4"/>
    <w:rsid w:val="00F63CF0"/>
    <w:rsid w:val="00F77E65"/>
    <w:rsid w:val="00F848FD"/>
    <w:rsid w:val="00F856D6"/>
    <w:rsid w:val="00F85D5C"/>
    <w:rsid w:val="00F900D6"/>
    <w:rsid w:val="00F927BC"/>
    <w:rsid w:val="00F949C7"/>
    <w:rsid w:val="00FB312E"/>
    <w:rsid w:val="00FB7304"/>
    <w:rsid w:val="00FC0274"/>
    <w:rsid w:val="00FC14B4"/>
    <w:rsid w:val="00FD3FD1"/>
    <w:rsid w:val="00FD5B0A"/>
    <w:rsid w:val="00FE3BF7"/>
    <w:rsid w:val="00FE4B45"/>
    <w:rsid w:val="00FE4DCE"/>
    <w:rsid w:val="00FF5466"/>
    <w:rsid w:val="00FF5752"/>
    <w:rsid w:val="00FF7BDE"/>
    <w:rsid w:val="01682857"/>
    <w:rsid w:val="01E416F9"/>
    <w:rsid w:val="027F210E"/>
    <w:rsid w:val="028C7F09"/>
    <w:rsid w:val="02C46E9B"/>
    <w:rsid w:val="030035EE"/>
    <w:rsid w:val="03353F95"/>
    <w:rsid w:val="0360728C"/>
    <w:rsid w:val="03644DF5"/>
    <w:rsid w:val="03835300"/>
    <w:rsid w:val="03DE6D23"/>
    <w:rsid w:val="045917B5"/>
    <w:rsid w:val="048165E9"/>
    <w:rsid w:val="04822F8C"/>
    <w:rsid w:val="04FB3143"/>
    <w:rsid w:val="05A83736"/>
    <w:rsid w:val="05D62E8D"/>
    <w:rsid w:val="060E577E"/>
    <w:rsid w:val="06565D7C"/>
    <w:rsid w:val="07593D76"/>
    <w:rsid w:val="07645625"/>
    <w:rsid w:val="078D6FB8"/>
    <w:rsid w:val="07D93108"/>
    <w:rsid w:val="083D07F0"/>
    <w:rsid w:val="088F0165"/>
    <w:rsid w:val="08B07E37"/>
    <w:rsid w:val="08BF77BF"/>
    <w:rsid w:val="092204A0"/>
    <w:rsid w:val="0A236A7B"/>
    <w:rsid w:val="0B1539DE"/>
    <w:rsid w:val="0B3219A6"/>
    <w:rsid w:val="0B42122A"/>
    <w:rsid w:val="0B951819"/>
    <w:rsid w:val="0BB05F19"/>
    <w:rsid w:val="0BB72600"/>
    <w:rsid w:val="0CC77ABE"/>
    <w:rsid w:val="0CD232C7"/>
    <w:rsid w:val="0CE20565"/>
    <w:rsid w:val="0D1B515F"/>
    <w:rsid w:val="0DDF3784"/>
    <w:rsid w:val="0E7B4249"/>
    <w:rsid w:val="0EBF4416"/>
    <w:rsid w:val="0ECE5049"/>
    <w:rsid w:val="0EDC775F"/>
    <w:rsid w:val="0F52514C"/>
    <w:rsid w:val="0FC249CD"/>
    <w:rsid w:val="0FF45561"/>
    <w:rsid w:val="101C4699"/>
    <w:rsid w:val="105E3B74"/>
    <w:rsid w:val="109C610C"/>
    <w:rsid w:val="10E842E1"/>
    <w:rsid w:val="10F20D97"/>
    <w:rsid w:val="110E0867"/>
    <w:rsid w:val="112151CA"/>
    <w:rsid w:val="112319C7"/>
    <w:rsid w:val="113F2F83"/>
    <w:rsid w:val="114F02E3"/>
    <w:rsid w:val="11DD0CB1"/>
    <w:rsid w:val="125A49E2"/>
    <w:rsid w:val="12C52F1E"/>
    <w:rsid w:val="12D85C40"/>
    <w:rsid w:val="13795301"/>
    <w:rsid w:val="13D70317"/>
    <w:rsid w:val="14A41919"/>
    <w:rsid w:val="14A46E3A"/>
    <w:rsid w:val="14BC3B96"/>
    <w:rsid w:val="1513630B"/>
    <w:rsid w:val="15790F62"/>
    <w:rsid w:val="15BE19C2"/>
    <w:rsid w:val="16231890"/>
    <w:rsid w:val="167B67D1"/>
    <w:rsid w:val="170C4CC1"/>
    <w:rsid w:val="174534C3"/>
    <w:rsid w:val="17CB24DD"/>
    <w:rsid w:val="17EF03F0"/>
    <w:rsid w:val="17FC2567"/>
    <w:rsid w:val="182061EA"/>
    <w:rsid w:val="18733FE8"/>
    <w:rsid w:val="195742D5"/>
    <w:rsid w:val="1975728E"/>
    <w:rsid w:val="198877AB"/>
    <w:rsid w:val="19ED3EF9"/>
    <w:rsid w:val="1A306C84"/>
    <w:rsid w:val="1B731BEB"/>
    <w:rsid w:val="1B941EF8"/>
    <w:rsid w:val="1BF40868"/>
    <w:rsid w:val="1C071B9A"/>
    <w:rsid w:val="1C112D9B"/>
    <w:rsid w:val="1C2B4079"/>
    <w:rsid w:val="1C2C4424"/>
    <w:rsid w:val="1C3D5EF7"/>
    <w:rsid w:val="1CCE090A"/>
    <w:rsid w:val="1CD54CE6"/>
    <w:rsid w:val="1CED7778"/>
    <w:rsid w:val="1D4A3138"/>
    <w:rsid w:val="1DDA4326"/>
    <w:rsid w:val="1DEC38DC"/>
    <w:rsid w:val="1E162E53"/>
    <w:rsid w:val="1E213000"/>
    <w:rsid w:val="1E7B1006"/>
    <w:rsid w:val="1EC21BFC"/>
    <w:rsid w:val="1ED146E2"/>
    <w:rsid w:val="1ED9508B"/>
    <w:rsid w:val="1F1C06EC"/>
    <w:rsid w:val="1F1C1907"/>
    <w:rsid w:val="1F325605"/>
    <w:rsid w:val="1F330BC9"/>
    <w:rsid w:val="1F6C23FE"/>
    <w:rsid w:val="1FF62945"/>
    <w:rsid w:val="203E4CF5"/>
    <w:rsid w:val="209150AE"/>
    <w:rsid w:val="20960394"/>
    <w:rsid w:val="20AE49C3"/>
    <w:rsid w:val="220C23B7"/>
    <w:rsid w:val="22781FD8"/>
    <w:rsid w:val="228E10F1"/>
    <w:rsid w:val="22A060F9"/>
    <w:rsid w:val="2316084E"/>
    <w:rsid w:val="23272B22"/>
    <w:rsid w:val="237A41C3"/>
    <w:rsid w:val="239C59FC"/>
    <w:rsid w:val="23AE4FF1"/>
    <w:rsid w:val="23CC5043"/>
    <w:rsid w:val="23FC238F"/>
    <w:rsid w:val="2466118E"/>
    <w:rsid w:val="249935AC"/>
    <w:rsid w:val="250A30F4"/>
    <w:rsid w:val="2519703D"/>
    <w:rsid w:val="251B719E"/>
    <w:rsid w:val="25323B9B"/>
    <w:rsid w:val="255D5AE4"/>
    <w:rsid w:val="25A35D07"/>
    <w:rsid w:val="25B6717E"/>
    <w:rsid w:val="25C220D2"/>
    <w:rsid w:val="25EB35DB"/>
    <w:rsid w:val="26004E66"/>
    <w:rsid w:val="262A60AF"/>
    <w:rsid w:val="267A53E0"/>
    <w:rsid w:val="268708FA"/>
    <w:rsid w:val="26BD5864"/>
    <w:rsid w:val="26C550E1"/>
    <w:rsid w:val="26D57F52"/>
    <w:rsid w:val="2706073F"/>
    <w:rsid w:val="27317845"/>
    <w:rsid w:val="27870033"/>
    <w:rsid w:val="27AC7A9A"/>
    <w:rsid w:val="28D50CBB"/>
    <w:rsid w:val="28DE01D1"/>
    <w:rsid w:val="28F34EAC"/>
    <w:rsid w:val="290517D4"/>
    <w:rsid w:val="2945385E"/>
    <w:rsid w:val="296A3295"/>
    <w:rsid w:val="298773D6"/>
    <w:rsid w:val="299170BE"/>
    <w:rsid w:val="29C32C55"/>
    <w:rsid w:val="2A2F4722"/>
    <w:rsid w:val="2A340C1E"/>
    <w:rsid w:val="2A847B82"/>
    <w:rsid w:val="2A9A1367"/>
    <w:rsid w:val="2ACC7058"/>
    <w:rsid w:val="2AF91930"/>
    <w:rsid w:val="2B263816"/>
    <w:rsid w:val="2BBF5F0F"/>
    <w:rsid w:val="2BD45DEC"/>
    <w:rsid w:val="2C550C29"/>
    <w:rsid w:val="2CA25104"/>
    <w:rsid w:val="2CC4102F"/>
    <w:rsid w:val="2CFE7A0F"/>
    <w:rsid w:val="2DD32AAB"/>
    <w:rsid w:val="2E324FEC"/>
    <w:rsid w:val="2E422BEB"/>
    <w:rsid w:val="2F065880"/>
    <w:rsid w:val="2F332A3F"/>
    <w:rsid w:val="2F3F66A2"/>
    <w:rsid w:val="2F9B5EB2"/>
    <w:rsid w:val="30456175"/>
    <w:rsid w:val="31034C2F"/>
    <w:rsid w:val="31134F38"/>
    <w:rsid w:val="31A836E5"/>
    <w:rsid w:val="31B74641"/>
    <w:rsid w:val="31CE79AF"/>
    <w:rsid w:val="31E00A6C"/>
    <w:rsid w:val="32C72628"/>
    <w:rsid w:val="32EC6C98"/>
    <w:rsid w:val="332056B3"/>
    <w:rsid w:val="333B7896"/>
    <w:rsid w:val="33441D2D"/>
    <w:rsid w:val="337456F7"/>
    <w:rsid w:val="33C449D1"/>
    <w:rsid w:val="33E376EB"/>
    <w:rsid w:val="33FB012A"/>
    <w:rsid w:val="341D3ABD"/>
    <w:rsid w:val="34534FE7"/>
    <w:rsid w:val="361E5856"/>
    <w:rsid w:val="36772279"/>
    <w:rsid w:val="367904EE"/>
    <w:rsid w:val="367C14DC"/>
    <w:rsid w:val="37584CFA"/>
    <w:rsid w:val="386A4389"/>
    <w:rsid w:val="388A5906"/>
    <w:rsid w:val="38906158"/>
    <w:rsid w:val="38910D12"/>
    <w:rsid w:val="389600D6"/>
    <w:rsid w:val="38DF6C18"/>
    <w:rsid w:val="396A1892"/>
    <w:rsid w:val="399D26D7"/>
    <w:rsid w:val="39B06F76"/>
    <w:rsid w:val="3A080C5F"/>
    <w:rsid w:val="3A267238"/>
    <w:rsid w:val="3ABF15FC"/>
    <w:rsid w:val="3ACB145B"/>
    <w:rsid w:val="3AE35294"/>
    <w:rsid w:val="3B670554"/>
    <w:rsid w:val="3B98086C"/>
    <w:rsid w:val="3B9B2203"/>
    <w:rsid w:val="3BB91DAD"/>
    <w:rsid w:val="3BF80060"/>
    <w:rsid w:val="3C8F6AAC"/>
    <w:rsid w:val="3C8F7316"/>
    <w:rsid w:val="3D8A65CC"/>
    <w:rsid w:val="3DCC03A3"/>
    <w:rsid w:val="3DF53168"/>
    <w:rsid w:val="3E2F05C0"/>
    <w:rsid w:val="3E7F2E17"/>
    <w:rsid w:val="3F911FE1"/>
    <w:rsid w:val="3FB17876"/>
    <w:rsid w:val="3FC95D22"/>
    <w:rsid w:val="401B6DEC"/>
    <w:rsid w:val="41493E67"/>
    <w:rsid w:val="417267B4"/>
    <w:rsid w:val="41F9358F"/>
    <w:rsid w:val="420351C4"/>
    <w:rsid w:val="42426BD9"/>
    <w:rsid w:val="427F0884"/>
    <w:rsid w:val="42A75F5C"/>
    <w:rsid w:val="42CA6E7F"/>
    <w:rsid w:val="434067C1"/>
    <w:rsid w:val="43793B98"/>
    <w:rsid w:val="438A5BDB"/>
    <w:rsid w:val="43F15D89"/>
    <w:rsid w:val="440D792D"/>
    <w:rsid w:val="442F66E9"/>
    <w:rsid w:val="444613C0"/>
    <w:rsid w:val="44507DF8"/>
    <w:rsid w:val="45073F19"/>
    <w:rsid w:val="45086FA9"/>
    <w:rsid w:val="45102DF6"/>
    <w:rsid w:val="460E3567"/>
    <w:rsid w:val="46681373"/>
    <w:rsid w:val="46C1098E"/>
    <w:rsid w:val="470D6D38"/>
    <w:rsid w:val="47486A4D"/>
    <w:rsid w:val="478947BF"/>
    <w:rsid w:val="47967565"/>
    <w:rsid w:val="48091A67"/>
    <w:rsid w:val="48BE2DA5"/>
    <w:rsid w:val="48D4224E"/>
    <w:rsid w:val="48E361AC"/>
    <w:rsid w:val="49235269"/>
    <w:rsid w:val="499E328F"/>
    <w:rsid w:val="49CB3842"/>
    <w:rsid w:val="49CD4037"/>
    <w:rsid w:val="4A1154D4"/>
    <w:rsid w:val="4A192EBD"/>
    <w:rsid w:val="4A256AE6"/>
    <w:rsid w:val="4A370ADD"/>
    <w:rsid w:val="4A476C5E"/>
    <w:rsid w:val="4A7A2B9C"/>
    <w:rsid w:val="4AA8103B"/>
    <w:rsid w:val="4AD01ABC"/>
    <w:rsid w:val="4C3C29D0"/>
    <w:rsid w:val="4C695E9E"/>
    <w:rsid w:val="4C8D73D7"/>
    <w:rsid w:val="4CBF30BB"/>
    <w:rsid w:val="4CF421AC"/>
    <w:rsid w:val="4D4D61D7"/>
    <w:rsid w:val="4D944D86"/>
    <w:rsid w:val="4DB85903"/>
    <w:rsid w:val="4DE8636E"/>
    <w:rsid w:val="4E01400C"/>
    <w:rsid w:val="4E0D199A"/>
    <w:rsid w:val="4E36520B"/>
    <w:rsid w:val="4E3B74FF"/>
    <w:rsid w:val="4E5539C7"/>
    <w:rsid w:val="4F2552AC"/>
    <w:rsid w:val="4F3E561F"/>
    <w:rsid w:val="4FA477F5"/>
    <w:rsid w:val="4FB07878"/>
    <w:rsid w:val="4FC56399"/>
    <w:rsid w:val="4FE27CB1"/>
    <w:rsid w:val="4FFD7F4B"/>
    <w:rsid w:val="50555A5F"/>
    <w:rsid w:val="51222329"/>
    <w:rsid w:val="512E3B10"/>
    <w:rsid w:val="512F6253"/>
    <w:rsid w:val="518302A5"/>
    <w:rsid w:val="51E9455E"/>
    <w:rsid w:val="52497B10"/>
    <w:rsid w:val="525C32BB"/>
    <w:rsid w:val="528E7C6D"/>
    <w:rsid w:val="52976ACD"/>
    <w:rsid w:val="52B764F2"/>
    <w:rsid w:val="53045928"/>
    <w:rsid w:val="530A3690"/>
    <w:rsid w:val="53640E6B"/>
    <w:rsid w:val="53696D9D"/>
    <w:rsid w:val="536B2150"/>
    <w:rsid w:val="537961FA"/>
    <w:rsid w:val="53B27F93"/>
    <w:rsid w:val="543C409E"/>
    <w:rsid w:val="54766CAD"/>
    <w:rsid w:val="54BC67B8"/>
    <w:rsid w:val="54D33DD2"/>
    <w:rsid w:val="552D0724"/>
    <w:rsid w:val="55A037FB"/>
    <w:rsid w:val="55C14502"/>
    <w:rsid w:val="55CB3EA0"/>
    <w:rsid w:val="55D97A72"/>
    <w:rsid w:val="56365413"/>
    <w:rsid w:val="564E13F4"/>
    <w:rsid w:val="568D20C3"/>
    <w:rsid w:val="569C67A5"/>
    <w:rsid w:val="56BD1EC4"/>
    <w:rsid w:val="572A38C5"/>
    <w:rsid w:val="582D66DA"/>
    <w:rsid w:val="583B573B"/>
    <w:rsid w:val="583F1391"/>
    <w:rsid w:val="584F4E7E"/>
    <w:rsid w:val="58A10752"/>
    <w:rsid w:val="58B048FF"/>
    <w:rsid w:val="59305A2A"/>
    <w:rsid w:val="59A74CA3"/>
    <w:rsid w:val="5AC21076"/>
    <w:rsid w:val="5AF3762D"/>
    <w:rsid w:val="5B237E93"/>
    <w:rsid w:val="5B441F0D"/>
    <w:rsid w:val="5B4F17A8"/>
    <w:rsid w:val="5B751975"/>
    <w:rsid w:val="5C6B1A70"/>
    <w:rsid w:val="5C702869"/>
    <w:rsid w:val="5CC95B0E"/>
    <w:rsid w:val="5CF4494D"/>
    <w:rsid w:val="5D4E4D70"/>
    <w:rsid w:val="5D780E6D"/>
    <w:rsid w:val="5DBD6DC7"/>
    <w:rsid w:val="5DDE2964"/>
    <w:rsid w:val="5E012B5C"/>
    <w:rsid w:val="5E062D59"/>
    <w:rsid w:val="5E4E6BDA"/>
    <w:rsid w:val="5E572D57"/>
    <w:rsid w:val="5EA87DDD"/>
    <w:rsid w:val="5EB91BB3"/>
    <w:rsid w:val="5F0674B4"/>
    <w:rsid w:val="5F1119B5"/>
    <w:rsid w:val="5FA26B31"/>
    <w:rsid w:val="60387B6E"/>
    <w:rsid w:val="611C1FDB"/>
    <w:rsid w:val="615E09E1"/>
    <w:rsid w:val="61761FA3"/>
    <w:rsid w:val="63030612"/>
    <w:rsid w:val="63364E41"/>
    <w:rsid w:val="6376330A"/>
    <w:rsid w:val="63A27E52"/>
    <w:rsid w:val="63D44684"/>
    <w:rsid w:val="643274CF"/>
    <w:rsid w:val="644C4D24"/>
    <w:rsid w:val="6460745E"/>
    <w:rsid w:val="64795739"/>
    <w:rsid w:val="648D67C9"/>
    <w:rsid w:val="64E960BC"/>
    <w:rsid w:val="6549608B"/>
    <w:rsid w:val="65A77008"/>
    <w:rsid w:val="66C54B51"/>
    <w:rsid w:val="671F4D55"/>
    <w:rsid w:val="673719D7"/>
    <w:rsid w:val="673E4168"/>
    <w:rsid w:val="67411C66"/>
    <w:rsid w:val="67440BE0"/>
    <w:rsid w:val="684D735A"/>
    <w:rsid w:val="685E2BCC"/>
    <w:rsid w:val="68D8169E"/>
    <w:rsid w:val="69090499"/>
    <w:rsid w:val="69164A76"/>
    <w:rsid w:val="691C6588"/>
    <w:rsid w:val="69274705"/>
    <w:rsid w:val="69624CA4"/>
    <w:rsid w:val="6A1069DC"/>
    <w:rsid w:val="6A7C6891"/>
    <w:rsid w:val="6A876FCF"/>
    <w:rsid w:val="6AA14DBE"/>
    <w:rsid w:val="6AA514ED"/>
    <w:rsid w:val="6AB91BB7"/>
    <w:rsid w:val="6ADA2825"/>
    <w:rsid w:val="6B0260BA"/>
    <w:rsid w:val="6B0F26A5"/>
    <w:rsid w:val="6B1A002E"/>
    <w:rsid w:val="6BC41113"/>
    <w:rsid w:val="6BC72F06"/>
    <w:rsid w:val="6C3971A6"/>
    <w:rsid w:val="6C7C21CA"/>
    <w:rsid w:val="6D412B91"/>
    <w:rsid w:val="6DA5042D"/>
    <w:rsid w:val="6DBB12C8"/>
    <w:rsid w:val="6E082D4D"/>
    <w:rsid w:val="6E2979C4"/>
    <w:rsid w:val="6E613CA3"/>
    <w:rsid w:val="6EAF13B0"/>
    <w:rsid w:val="6F0B1F3E"/>
    <w:rsid w:val="6F385C65"/>
    <w:rsid w:val="6F4F2DBA"/>
    <w:rsid w:val="6F5D06C3"/>
    <w:rsid w:val="6FB12101"/>
    <w:rsid w:val="708252E2"/>
    <w:rsid w:val="70B22431"/>
    <w:rsid w:val="70C87533"/>
    <w:rsid w:val="710474E6"/>
    <w:rsid w:val="71061E72"/>
    <w:rsid w:val="716D12FF"/>
    <w:rsid w:val="71B86A9F"/>
    <w:rsid w:val="71C4021B"/>
    <w:rsid w:val="71D71ED6"/>
    <w:rsid w:val="724C6668"/>
    <w:rsid w:val="72581BE7"/>
    <w:rsid w:val="727A5896"/>
    <w:rsid w:val="73107C53"/>
    <w:rsid w:val="732E67CC"/>
    <w:rsid w:val="733C3CDB"/>
    <w:rsid w:val="73637BD0"/>
    <w:rsid w:val="73AE7738"/>
    <w:rsid w:val="73C04CC8"/>
    <w:rsid w:val="742F45B2"/>
    <w:rsid w:val="746972C3"/>
    <w:rsid w:val="74B9560C"/>
    <w:rsid w:val="7558198A"/>
    <w:rsid w:val="75761242"/>
    <w:rsid w:val="757B2D20"/>
    <w:rsid w:val="757C71DC"/>
    <w:rsid w:val="758B206A"/>
    <w:rsid w:val="75C02236"/>
    <w:rsid w:val="75C865C8"/>
    <w:rsid w:val="76116A13"/>
    <w:rsid w:val="761A518A"/>
    <w:rsid w:val="76BA0548"/>
    <w:rsid w:val="76EF7359"/>
    <w:rsid w:val="76FC53B5"/>
    <w:rsid w:val="770A3CA9"/>
    <w:rsid w:val="770F4EC5"/>
    <w:rsid w:val="775571D3"/>
    <w:rsid w:val="77BE5C84"/>
    <w:rsid w:val="7873672C"/>
    <w:rsid w:val="78BB0EB8"/>
    <w:rsid w:val="79555E50"/>
    <w:rsid w:val="795821A2"/>
    <w:rsid w:val="79A1608B"/>
    <w:rsid w:val="79AE0647"/>
    <w:rsid w:val="79B901F8"/>
    <w:rsid w:val="79F67C8B"/>
    <w:rsid w:val="7A3B2499"/>
    <w:rsid w:val="7AA94F5B"/>
    <w:rsid w:val="7BC02ED4"/>
    <w:rsid w:val="7BC21706"/>
    <w:rsid w:val="7BE3559E"/>
    <w:rsid w:val="7C2B4FE0"/>
    <w:rsid w:val="7CDA1E79"/>
    <w:rsid w:val="7D58270A"/>
    <w:rsid w:val="7DC72BC2"/>
    <w:rsid w:val="7DEE575E"/>
    <w:rsid w:val="7E124398"/>
    <w:rsid w:val="7E252A23"/>
    <w:rsid w:val="7EB32761"/>
    <w:rsid w:val="7F0303D7"/>
    <w:rsid w:val="7F8F0614"/>
    <w:rsid w:val="7FD67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0"/>
    <w:pPr>
      <w:keepNext/>
      <w:keepLines/>
      <w:spacing w:line="408" w:lineRule="auto"/>
      <w:jc w:val="left"/>
      <w:outlineLvl w:val="0"/>
    </w:pPr>
    <w:rPr>
      <w:b/>
      <w:bCs/>
      <w:color w:val="1A1A1A"/>
      <w:kern w:val="44"/>
      <w:sz w:val="36"/>
      <w:szCs w:val="36"/>
    </w:rPr>
  </w:style>
  <w:style w:type="paragraph" w:styleId="3">
    <w:name w:val="heading 2"/>
    <w:basedOn w:val="1"/>
    <w:next w:val="1"/>
    <w:link w:val="47"/>
    <w:unhideWhenUsed/>
    <w:qFormat/>
    <w:uiPriority w:val="0"/>
    <w:pPr>
      <w:keepNext/>
      <w:keepLines/>
      <w:spacing w:line="408" w:lineRule="auto"/>
      <w:jc w:val="left"/>
      <w:outlineLvl w:val="1"/>
    </w:pPr>
    <w:rPr>
      <w:rFonts w:asciiTheme="majorHAnsi" w:hAnsiTheme="majorHAnsi" w:eastAsiaTheme="majorEastAsia" w:cstheme="majorBidi"/>
      <w:b/>
      <w:bCs/>
      <w:color w:val="1A1A1A"/>
      <w:sz w:val="32"/>
      <w:szCs w:val="32"/>
    </w:rPr>
  </w:style>
  <w:style w:type="paragraph" w:styleId="4">
    <w:name w:val="heading 3"/>
    <w:basedOn w:val="1"/>
    <w:next w:val="1"/>
    <w:link w:val="48"/>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paragraph" w:styleId="5">
    <w:name w:val="heading 4"/>
    <w:basedOn w:val="1"/>
    <w:next w:val="1"/>
    <w:link w:val="49"/>
    <w:qFormat/>
    <w:uiPriority w:val="0"/>
    <w:pPr>
      <w:keepNext/>
      <w:keepLines/>
      <w:widowControl/>
      <w:spacing w:before="280" w:after="290" w:line="376" w:lineRule="auto"/>
      <w:jc w:val="left"/>
      <w:outlineLvl w:val="3"/>
    </w:pPr>
    <w:rPr>
      <w:rFonts w:ascii="Arial" w:hAnsi="Arial" w:eastAsia="黑体" w:cs="宋体"/>
      <w:b/>
      <w:bCs/>
      <w:kern w:val="0"/>
      <w:sz w:val="28"/>
      <w:szCs w:val="28"/>
      <w:lang w:val="zh-CN"/>
    </w:rPr>
  </w:style>
  <w:style w:type="paragraph" w:styleId="6">
    <w:name w:val="heading 5"/>
    <w:basedOn w:val="1"/>
    <w:next w:val="1"/>
    <w:link w:val="50"/>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2"/>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53"/>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54"/>
    <w:qFormat/>
    <w:uiPriority w:val="0"/>
    <w:pPr>
      <w:keepNext/>
      <w:keepLines/>
      <w:widowControl/>
      <w:spacing w:before="240" w:after="64" w:line="320" w:lineRule="auto"/>
      <w:jc w:val="left"/>
      <w:outlineLvl w:val="8"/>
    </w:pPr>
    <w:rPr>
      <w:rFonts w:ascii="Arial" w:hAnsi="Arial" w:eastAsia="黑体" w:cs="宋体"/>
      <w:kern w:val="0"/>
      <w:sz w:val="24"/>
      <w:szCs w:val="21"/>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ind w:left="1440"/>
      <w:jc w:val="left"/>
    </w:pPr>
    <w:rPr>
      <w:rFonts w:ascii="宋体" w:hAnsi="宋体" w:eastAsia="宋体" w:cs="宋体"/>
      <w:kern w:val="0"/>
      <w:sz w:val="18"/>
      <w:szCs w:val="18"/>
    </w:rPr>
  </w:style>
  <w:style w:type="paragraph" w:styleId="12">
    <w:name w:val="Normal Indent"/>
    <w:basedOn w:val="1"/>
    <w:qFormat/>
    <w:uiPriority w:val="0"/>
    <w:pPr>
      <w:widowControl/>
      <w:ind w:firstLine="420"/>
      <w:jc w:val="left"/>
    </w:pPr>
    <w:rPr>
      <w:rFonts w:ascii="宋体" w:hAnsi="宋体" w:eastAsia="宋体" w:cs="宋体"/>
      <w:kern w:val="0"/>
      <w:sz w:val="24"/>
      <w:szCs w:val="20"/>
    </w:rPr>
  </w:style>
  <w:style w:type="paragraph" w:styleId="13">
    <w:name w:val="Document Map"/>
    <w:basedOn w:val="1"/>
    <w:link w:val="74"/>
    <w:qFormat/>
    <w:uiPriority w:val="0"/>
    <w:pPr>
      <w:widowControl/>
      <w:shd w:val="clear" w:color="auto" w:fill="000080"/>
      <w:jc w:val="left"/>
    </w:pPr>
    <w:rPr>
      <w:rFonts w:ascii="宋体" w:hAnsi="宋体"/>
      <w:kern w:val="0"/>
      <w:sz w:val="24"/>
      <w:szCs w:val="24"/>
    </w:rPr>
  </w:style>
  <w:style w:type="paragraph" w:styleId="14">
    <w:name w:val="annotation text"/>
    <w:basedOn w:val="1"/>
    <w:link w:val="55"/>
    <w:unhideWhenUsed/>
    <w:qFormat/>
    <w:uiPriority w:val="0"/>
    <w:pPr>
      <w:jc w:val="left"/>
    </w:pPr>
  </w:style>
  <w:style w:type="paragraph" w:styleId="15">
    <w:name w:val="Body Text"/>
    <w:basedOn w:val="1"/>
    <w:link w:val="56"/>
    <w:unhideWhenUsed/>
    <w:qFormat/>
    <w:uiPriority w:val="0"/>
    <w:pPr>
      <w:spacing w:after="120"/>
    </w:pPr>
    <w:rPr>
      <w:rFonts w:ascii="Calibri" w:hAnsi="Calibri" w:eastAsia="宋体" w:cs="Times New Roman"/>
    </w:rPr>
  </w:style>
  <w:style w:type="paragraph" w:styleId="16">
    <w:name w:val="Body Text Indent"/>
    <w:basedOn w:val="1"/>
    <w:link w:val="75"/>
    <w:qFormat/>
    <w:uiPriority w:val="0"/>
    <w:pPr>
      <w:widowControl/>
      <w:spacing w:line="360" w:lineRule="auto"/>
      <w:ind w:firstLine="630"/>
      <w:jc w:val="left"/>
    </w:pPr>
    <w:rPr>
      <w:rFonts w:ascii="宋体" w:hAnsi="宋体" w:eastAsia="宋体" w:cs="宋体"/>
      <w:kern w:val="0"/>
      <w:sz w:val="24"/>
      <w:szCs w:val="20"/>
    </w:rPr>
  </w:style>
  <w:style w:type="paragraph" w:styleId="17">
    <w:name w:val="toc 5"/>
    <w:basedOn w:val="1"/>
    <w:next w:val="1"/>
    <w:qFormat/>
    <w:uiPriority w:val="39"/>
    <w:pPr>
      <w:widowControl/>
      <w:ind w:left="960"/>
      <w:jc w:val="left"/>
    </w:pPr>
    <w:rPr>
      <w:rFonts w:ascii="宋体" w:hAnsi="宋体" w:eastAsia="宋体" w:cs="宋体"/>
      <w:kern w:val="0"/>
      <w:sz w:val="18"/>
      <w:szCs w:val="18"/>
    </w:rPr>
  </w:style>
  <w:style w:type="paragraph" w:styleId="18">
    <w:name w:val="toc 3"/>
    <w:basedOn w:val="1"/>
    <w:next w:val="1"/>
    <w:qFormat/>
    <w:uiPriority w:val="39"/>
    <w:pPr>
      <w:widowControl/>
      <w:ind w:left="480"/>
      <w:jc w:val="left"/>
    </w:pPr>
    <w:rPr>
      <w:rFonts w:ascii="宋体" w:hAnsi="宋体" w:eastAsia="宋体" w:cs="宋体"/>
      <w:i/>
      <w:iCs/>
      <w:kern w:val="0"/>
      <w:sz w:val="20"/>
      <w:szCs w:val="20"/>
    </w:rPr>
  </w:style>
  <w:style w:type="paragraph" w:styleId="19">
    <w:name w:val="Plain Text"/>
    <w:basedOn w:val="1"/>
    <w:link w:val="76"/>
    <w:qFormat/>
    <w:uiPriority w:val="0"/>
    <w:pPr>
      <w:widowControl/>
      <w:jc w:val="left"/>
    </w:pPr>
    <w:rPr>
      <w:rFonts w:ascii="宋体" w:hAnsi="Courier New" w:eastAsia="宋体" w:cs="Courier New"/>
      <w:kern w:val="0"/>
      <w:sz w:val="24"/>
      <w:szCs w:val="21"/>
    </w:rPr>
  </w:style>
  <w:style w:type="paragraph" w:styleId="20">
    <w:name w:val="toc 8"/>
    <w:basedOn w:val="1"/>
    <w:next w:val="1"/>
    <w:qFormat/>
    <w:uiPriority w:val="39"/>
    <w:pPr>
      <w:widowControl/>
      <w:ind w:left="1680"/>
      <w:jc w:val="left"/>
    </w:pPr>
    <w:rPr>
      <w:rFonts w:ascii="宋体" w:hAnsi="宋体" w:eastAsia="宋体" w:cs="宋体"/>
      <w:kern w:val="0"/>
      <w:sz w:val="18"/>
      <w:szCs w:val="18"/>
    </w:rPr>
  </w:style>
  <w:style w:type="paragraph" w:styleId="21">
    <w:name w:val="Date"/>
    <w:basedOn w:val="1"/>
    <w:next w:val="1"/>
    <w:link w:val="57"/>
    <w:unhideWhenUsed/>
    <w:qFormat/>
    <w:uiPriority w:val="0"/>
    <w:pPr>
      <w:ind w:left="100" w:leftChars="2500"/>
    </w:pPr>
  </w:style>
  <w:style w:type="paragraph" w:styleId="22">
    <w:name w:val="Body Text Indent 2"/>
    <w:basedOn w:val="1"/>
    <w:link w:val="77"/>
    <w:qFormat/>
    <w:uiPriority w:val="0"/>
    <w:pPr>
      <w:widowControl/>
      <w:ind w:firstLine="640" w:firstLineChars="200"/>
      <w:jc w:val="left"/>
    </w:pPr>
    <w:rPr>
      <w:rFonts w:ascii="宋体" w:hAnsi="宋体" w:eastAsia="仿宋_GB2312" w:cs="宋体"/>
      <w:kern w:val="0"/>
      <w:sz w:val="32"/>
      <w:szCs w:val="24"/>
    </w:rPr>
  </w:style>
  <w:style w:type="paragraph" w:styleId="23">
    <w:name w:val="Balloon Text"/>
    <w:basedOn w:val="1"/>
    <w:link w:val="58"/>
    <w:unhideWhenUsed/>
    <w:qFormat/>
    <w:uiPriority w:val="0"/>
    <w:rPr>
      <w:sz w:val="18"/>
      <w:szCs w:val="18"/>
    </w:rPr>
  </w:style>
  <w:style w:type="paragraph" w:styleId="24">
    <w:name w:val="footer"/>
    <w:basedOn w:val="1"/>
    <w:link w:val="59"/>
    <w:unhideWhenUsed/>
    <w:qFormat/>
    <w:uiPriority w:val="99"/>
    <w:pPr>
      <w:tabs>
        <w:tab w:val="center" w:pos="4153"/>
        <w:tab w:val="right" w:pos="8306"/>
      </w:tabs>
      <w:snapToGrid w:val="0"/>
      <w:jc w:val="left"/>
    </w:pPr>
    <w:rPr>
      <w:sz w:val="18"/>
      <w:szCs w:val="18"/>
    </w:rPr>
  </w:style>
  <w:style w:type="paragraph" w:styleId="25">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widowControl/>
      <w:spacing w:before="120" w:after="120"/>
      <w:jc w:val="left"/>
    </w:pPr>
    <w:rPr>
      <w:rFonts w:ascii="宋体" w:hAnsi="宋体" w:eastAsia="宋体" w:cs="宋体"/>
      <w:b/>
      <w:bCs/>
      <w:caps/>
      <w:kern w:val="0"/>
      <w:sz w:val="20"/>
      <w:szCs w:val="20"/>
    </w:rPr>
  </w:style>
  <w:style w:type="paragraph" w:styleId="27">
    <w:name w:val="toc 4"/>
    <w:basedOn w:val="1"/>
    <w:next w:val="1"/>
    <w:qFormat/>
    <w:uiPriority w:val="39"/>
    <w:pPr>
      <w:widowControl/>
      <w:ind w:left="720"/>
      <w:jc w:val="left"/>
    </w:pPr>
    <w:rPr>
      <w:rFonts w:ascii="宋体" w:hAnsi="宋体" w:eastAsia="宋体" w:cs="宋体"/>
      <w:kern w:val="0"/>
      <w:sz w:val="18"/>
      <w:szCs w:val="18"/>
    </w:rPr>
  </w:style>
  <w:style w:type="paragraph" w:styleId="28">
    <w:name w:val="toc 6"/>
    <w:basedOn w:val="1"/>
    <w:next w:val="1"/>
    <w:qFormat/>
    <w:uiPriority w:val="39"/>
    <w:pPr>
      <w:widowControl/>
      <w:ind w:left="1200"/>
      <w:jc w:val="left"/>
    </w:pPr>
    <w:rPr>
      <w:rFonts w:ascii="宋体" w:hAnsi="宋体" w:eastAsia="宋体" w:cs="宋体"/>
      <w:kern w:val="0"/>
      <w:sz w:val="18"/>
      <w:szCs w:val="18"/>
    </w:rPr>
  </w:style>
  <w:style w:type="paragraph" w:styleId="29">
    <w:name w:val="List 5"/>
    <w:basedOn w:val="1"/>
    <w:qFormat/>
    <w:uiPriority w:val="0"/>
    <w:pPr>
      <w:widowControl/>
      <w:ind w:left="2100" w:hanging="420"/>
      <w:jc w:val="left"/>
    </w:pPr>
    <w:rPr>
      <w:rFonts w:ascii="宋体" w:hAnsi="宋体" w:eastAsia="宋体" w:cs="宋体"/>
      <w:kern w:val="0"/>
      <w:sz w:val="24"/>
      <w:szCs w:val="20"/>
    </w:rPr>
  </w:style>
  <w:style w:type="paragraph" w:styleId="30">
    <w:name w:val="Body Text Indent 3"/>
    <w:basedOn w:val="1"/>
    <w:link w:val="78"/>
    <w:qFormat/>
    <w:uiPriority w:val="0"/>
    <w:pPr>
      <w:widowControl/>
      <w:spacing w:line="400" w:lineRule="exact"/>
      <w:ind w:firstLine="630"/>
      <w:jc w:val="left"/>
    </w:pPr>
    <w:rPr>
      <w:rFonts w:ascii="宋体" w:hAnsi="宋体" w:eastAsia="宋体" w:cs="宋体"/>
      <w:kern w:val="0"/>
      <w:sz w:val="24"/>
      <w:szCs w:val="24"/>
    </w:rPr>
  </w:style>
  <w:style w:type="paragraph" w:styleId="31">
    <w:name w:val="toc 2"/>
    <w:basedOn w:val="1"/>
    <w:next w:val="1"/>
    <w:qFormat/>
    <w:uiPriority w:val="39"/>
    <w:pPr>
      <w:widowControl/>
      <w:ind w:left="240"/>
      <w:jc w:val="left"/>
    </w:pPr>
    <w:rPr>
      <w:rFonts w:ascii="宋体" w:hAnsi="宋体" w:eastAsia="宋体" w:cs="宋体"/>
      <w:smallCaps/>
      <w:kern w:val="0"/>
      <w:sz w:val="20"/>
      <w:szCs w:val="20"/>
    </w:rPr>
  </w:style>
  <w:style w:type="paragraph" w:styleId="32">
    <w:name w:val="toc 9"/>
    <w:basedOn w:val="1"/>
    <w:next w:val="1"/>
    <w:qFormat/>
    <w:uiPriority w:val="39"/>
    <w:pPr>
      <w:widowControl/>
      <w:ind w:left="1920"/>
      <w:jc w:val="left"/>
    </w:pPr>
    <w:rPr>
      <w:rFonts w:ascii="宋体" w:hAnsi="宋体" w:eastAsia="宋体" w:cs="宋体"/>
      <w:kern w:val="0"/>
      <w:sz w:val="18"/>
      <w:szCs w:val="18"/>
    </w:rPr>
  </w:style>
  <w:style w:type="paragraph" w:styleId="33">
    <w:name w:val="Body Text 2"/>
    <w:basedOn w:val="1"/>
    <w:link w:val="79"/>
    <w:qFormat/>
    <w:uiPriority w:val="0"/>
    <w:pPr>
      <w:widowControl/>
      <w:jc w:val="left"/>
    </w:pPr>
    <w:rPr>
      <w:rFonts w:ascii="楷体_GB2312" w:hAnsi="宋体" w:eastAsia="楷体_GB2312" w:cs="宋体"/>
      <w:color w:val="000000"/>
      <w:kern w:val="0"/>
      <w:sz w:val="24"/>
      <w:szCs w:val="21"/>
    </w:rPr>
  </w:style>
  <w:style w:type="paragraph" w:styleId="3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widowControl/>
      <w:spacing w:line="360" w:lineRule="auto"/>
      <w:jc w:val="left"/>
    </w:pPr>
    <w:rPr>
      <w:rFonts w:ascii="宋体" w:hAnsi="宋体" w:eastAsia="宋体" w:cs="宋体"/>
      <w:b/>
      <w:color w:val="0000FF"/>
      <w:kern w:val="0"/>
      <w:sz w:val="24"/>
      <w:szCs w:val="24"/>
    </w:rPr>
  </w:style>
  <w:style w:type="paragraph" w:styleId="36">
    <w:name w:val="Title"/>
    <w:basedOn w:val="1"/>
    <w:next w:val="1"/>
    <w:link w:val="61"/>
    <w:qFormat/>
    <w:uiPriority w:val="0"/>
    <w:pPr>
      <w:spacing w:line="480" w:lineRule="auto"/>
      <w:jc w:val="center"/>
      <w:outlineLvl w:val="0"/>
    </w:pPr>
    <w:rPr>
      <w:rFonts w:asciiTheme="majorHAnsi" w:hAnsiTheme="majorHAnsi" w:eastAsiaTheme="majorEastAsia" w:cstheme="majorBidi"/>
      <w:b/>
      <w:bCs/>
      <w:sz w:val="48"/>
      <w:szCs w:val="32"/>
    </w:rPr>
  </w:style>
  <w:style w:type="paragraph" w:styleId="37">
    <w:name w:val="annotation subject"/>
    <w:basedOn w:val="14"/>
    <w:next w:val="14"/>
    <w:link w:val="62"/>
    <w:unhideWhenUsed/>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unhideWhenUsed/>
    <w:qFormat/>
    <w:uiPriority w:val="99"/>
    <w:rPr>
      <w:color w:val="800080"/>
      <w:u w:val="single"/>
    </w:rPr>
  </w:style>
  <w:style w:type="character" w:styleId="44">
    <w:name w:val="Hyperlink"/>
    <w:basedOn w:val="40"/>
    <w:unhideWhenUsed/>
    <w:qFormat/>
    <w:uiPriority w:val="99"/>
    <w:rPr>
      <w:color w:val="0000FF"/>
      <w:u w:val="single"/>
    </w:rPr>
  </w:style>
  <w:style w:type="character" w:styleId="45">
    <w:name w:val="annotation reference"/>
    <w:basedOn w:val="40"/>
    <w:unhideWhenUsed/>
    <w:qFormat/>
    <w:uiPriority w:val="99"/>
    <w:rPr>
      <w:sz w:val="21"/>
      <w:szCs w:val="21"/>
    </w:rPr>
  </w:style>
  <w:style w:type="character" w:customStyle="1" w:styleId="46">
    <w:name w:val="标题 1 字符"/>
    <w:basedOn w:val="40"/>
    <w:link w:val="2"/>
    <w:qFormat/>
    <w:uiPriority w:val="0"/>
    <w:rPr>
      <w:b/>
      <w:bCs/>
      <w:color w:val="1A1A1A"/>
      <w:kern w:val="44"/>
      <w:sz w:val="36"/>
      <w:szCs w:val="36"/>
    </w:rPr>
  </w:style>
  <w:style w:type="character" w:customStyle="1" w:styleId="47">
    <w:name w:val="标题 2 字符"/>
    <w:basedOn w:val="40"/>
    <w:link w:val="3"/>
    <w:qFormat/>
    <w:uiPriority w:val="0"/>
    <w:rPr>
      <w:rFonts w:asciiTheme="majorHAnsi" w:hAnsiTheme="majorHAnsi" w:eastAsiaTheme="majorEastAsia" w:cstheme="majorBidi"/>
      <w:b/>
      <w:bCs/>
      <w:color w:val="1A1A1A"/>
      <w:kern w:val="2"/>
      <w:sz w:val="32"/>
      <w:szCs w:val="32"/>
    </w:rPr>
  </w:style>
  <w:style w:type="character" w:customStyle="1" w:styleId="48">
    <w:name w:val="标题 3 字符"/>
    <w:basedOn w:val="40"/>
    <w:link w:val="4"/>
    <w:qFormat/>
    <w:uiPriority w:val="0"/>
    <w:rPr>
      <w:rFonts w:ascii="宋体" w:hAnsi="宋体" w:eastAsia="华文细黑" w:cs="宋体"/>
      <w:bCs/>
      <w:sz w:val="36"/>
      <w:szCs w:val="32"/>
      <w:lang w:val="zh-CN"/>
    </w:rPr>
  </w:style>
  <w:style w:type="character" w:customStyle="1" w:styleId="49">
    <w:name w:val="标题 4 字符"/>
    <w:basedOn w:val="40"/>
    <w:link w:val="5"/>
    <w:qFormat/>
    <w:uiPriority w:val="0"/>
    <w:rPr>
      <w:rFonts w:ascii="Arial" w:hAnsi="Arial" w:eastAsia="黑体" w:cs="宋体"/>
      <w:b/>
      <w:bCs/>
      <w:sz w:val="28"/>
      <w:szCs w:val="28"/>
      <w:lang w:val="zh-CN"/>
    </w:rPr>
  </w:style>
  <w:style w:type="character" w:customStyle="1" w:styleId="50">
    <w:name w:val="标题 5 字符"/>
    <w:basedOn w:val="40"/>
    <w:link w:val="6"/>
    <w:qFormat/>
    <w:uiPriority w:val="0"/>
    <w:rPr>
      <w:b/>
      <w:bCs/>
      <w:kern w:val="2"/>
      <w:sz w:val="28"/>
      <w:szCs w:val="28"/>
    </w:rPr>
  </w:style>
  <w:style w:type="character" w:customStyle="1" w:styleId="51">
    <w:name w:val="标题 6 字符"/>
    <w:basedOn w:val="40"/>
    <w:link w:val="7"/>
    <w:qFormat/>
    <w:uiPriority w:val="0"/>
    <w:rPr>
      <w:rFonts w:asciiTheme="majorHAnsi" w:hAnsiTheme="majorHAnsi" w:eastAsiaTheme="majorEastAsia" w:cstheme="majorBidi"/>
      <w:b/>
      <w:bCs/>
      <w:kern w:val="2"/>
      <w:sz w:val="24"/>
      <w:szCs w:val="24"/>
    </w:rPr>
  </w:style>
  <w:style w:type="character" w:customStyle="1" w:styleId="52">
    <w:name w:val="标题 7 字符"/>
    <w:basedOn w:val="40"/>
    <w:link w:val="8"/>
    <w:qFormat/>
    <w:uiPriority w:val="0"/>
    <w:rPr>
      <w:b/>
      <w:bCs/>
      <w:kern w:val="2"/>
      <w:sz w:val="24"/>
      <w:szCs w:val="24"/>
    </w:rPr>
  </w:style>
  <w:style w:type="character" w:customStyle="1" w:styleId="53">
    <w:name w:val="标题 8 字符"/>
    <w:basedOn w:val="40"/>
    <w:link w:val="9"/>
    <w:qFormat/>
    <w:uiPriority w:val="0"/>
    <w:rPr>
      <w:rFonts w:asciiTheme="majorHAnsi" w:hAnsiTheme="majorHAnsi" w:eastAsiaTheme="majorEastAsia" w:cstheme="majorBidi"/>
      <w:kern w:val="2"/>
      <w:sz w:val="24"/>
      <w:szCs w:val="24"/>
    </w:rPr>
  </w:style>
  <w:style w:type="character" w:customStyle="1" w:styleId="54">
    <w:name w:val="标题 9 字符"/>
    <w:basedOn w:val="40"/>
    <w:link w:val="10"/>
    <w:qFormat/>
    <w:uiPriority w:val="0"/>
    <w:rPr>
      <w:rFonts w:ascii="Arial" w:hAnsi="Arial" w:eastAsia="黑体" w:cs="宋体"/>
      <w:sz w:val="24"/>
      <w:szCs w:val="21"/>
      <w:lang w:val="zh-CN"/>
    </w:rPr>
  </w:style>
  <w:style w:type="character" w:customStyle="1" w:styleId="55">
    <w:name w:val="批注文字 字符"/>
    <w:basedOn w:val="40"/>
    <w:link w:val="14"/>
    <w:qFormat/>
    <w:uiPriority w:val="0"/>
    <w:rPr>
      <w:kern w:val="2"/>
      <w:sz w:val="21"/>
      <w:szCs w:val="22"/>
    </w:rPr>
  </w:style>
  <w:style w:type="character" w:customStyle="1" w:styleId="56">
    <w:name w:val="正文文本 字符"/>
    <w:basedOn w:val="40"/>
    <w:link w:val="15"/>
    <w:qFormat/>
    <w:uiPriority w:val="0"/>
    <w:rPr>
      <w:rFonts w:ascii="Calibri" w:hAnsi="Calibri" w:eastAsia="宋体" w:cs="Times New Roman"/>
      <w:kern w:val="2"/>
      <w:sz w:val="21"/>
      <w:szCs w:val="22"/>
    </w:rPr>
  </w:style>
  <w:style w:type="character" w:customStyle="1" w:styleId="57">
    <w:name w:val="日期 字符"/>
    <w:basedOn w:val="40"/>
    <w:link w:val="21"/>
    <w:qFormat/>
    <w:uiPriority w:val="0"/>
    <w:rPr>
      <w:kern w:val="2"/>
      <w:sz w:val="21"/>
      <w:szCs w:val="22"/>
    </w:rPr>
  </w:style>
  <w:style w:type="character" w:customStyle="1" w:styleId="58">
    <w:name w:val="批注框文本 字符"/>
    <w:basedOn w:val="40"/>
    <w:link w:val="23"/>
    <w:qFormat/>
    <w:uiPriority w:val="0"/>
    <w:rPr>
      <w:kern w:val="2"/>
      <w:sz w:val="18"/>
      <w:szCs w:val="18"/>
    </w:rPr>
  </w:style>
  <w:style w:type="character" w:customStyle="1" w:styleId="59">
    <w:name w:val="页脚 字符"/>
    <w:basedOn w:val="40"/>
    <w:link w:val="24"/>
    <w:qFormat/>
    <w:uiPriority w:val="99"/>
    <w:rPr>
      <w:sz w:val="18"/>
      <w:szCs w:val="18"/>
    </w:rPr>
  </w:style>
  <w:style w:type="character" w:customStyle="1" w:styleId="60">
    <w:name w:val="页眉 字符"/>
    <w:basedOn w:val="40"/>
    <w:link w:val="25"/>
    <w:qFormat/>
    <w:uiPriority w:val="0"/>
    <w:rPr>
      <w:sz w:val="18"/>
      <w:szCs w:val="18"/>
    </w:rPr>
  </w:style>
  <w:style w:type="character" w:customStyle="1" w:styleId="61">
    <w:name w:val="标题 字符"/>
    <w:basedOn w:val="40"/>
    <w:link w:val="36"/>
    <w:qFormat/>
    <w:uiPriority w:val="0"/>
    <w:rPr>
      <w:rFonts w:asciiTheme="majorHAnsi" w:hAnsiTheme="majorHAnsi" w:eastAsiaTheme="majorEastAsia" w:cstheme="majorBidi"/>
      <w:b/>
      <w:bCs/>
      <w:kern w:val="2"/>
      <w:sz w:val="48"/>
      <w:szCs w:val="32"/>
    </w:rPr>
  </w:style>
  <w:style w:type="character" w:customStyle="1" w:styleId="62">
    <w:name w:val="批注主题 字符"/>
    <w:basedOn w:val="55"/>
    <w:link w:val="37"/>
    <w:qFormat/>
    <w:uiPriority w:val="0"/>
    <w:rPr>
      <w:b/>
      <w:bCs/>
      <w:kern w:val="2"/>
      <w:sz w:val="21"/>
      <w:szCs w:val="22"/>
    </w:rPr>
  </w:style>
  <w:style w:type="paragraph" w:styleId="63">
    <w:name w:val="List Paragraph"/>
    <w:basedOn w:val="1"/>
    <w:qFormat/>
    <w:uiPriority w:val="99"/>
    <w:pPr>
      <w:ind w:firstLine="420" w:firstLineChars="200"/>
    </w:pPr>
  </w:style>
  <w:style w:type="paragraph" w:customStyle="1" w:styleId="64">
    <w:name w:val="Normal_4"/>
    <w:qFormat/>
    <w:uiPriority w:val="0"/>
    <w:rPr>
      <w:rFonts w:ascii="宋体" w:hAnsi="宋体" w:eastAsia="宋体" w:cs="宋体"/>
      <w:sz w:val="24"/>
      <w:szCs w:val="24"/>
      <w:lang w:val="en-US" w:eastAsia="zh-CN" w:bidi="ar-SA"/>
    </w:rPr>
  </w:style>
  <w:style w:type="paragraph" w:customStyle="1" w:styleId="65">
    <w:name w:val="Table Paragraph"/>
    <w:basedOn w:val="1"/>
    <w:qFormat/>
    <w:uiPriority w:val="1"/>
    <w:pPr>
      <w:autoSpaceDE w:val="0"/>
      <w:autoSpaceDN w:val="0"/>
      <w:adjustRightInd w:val="0"/>
      <w:ind w:left="103"/>
      <w:jc w:val="left"/>
    </w:pPr>
    <w:rPr>
      <w:rFonts w:ascii="宋体" w:hAnsi="Times New Roman" w:eastAsia="宋体" w:cs="宋体"/>
      <w:kern w:val="0"/>
      <w:sz w:val="24"/>
      <w:szCs w:val="24"/>
    </w:rPr>
  </w:style>
  <w:style w:type="paragraph" w:customStyle="1" w:styleId="66">
    <w:name w:val="列表段落1"/>
    <w:basedOn w:val="1"/>
    <w:qFormat/>
    <w:uiPriority w:val="1"/>
    <w:rPr>
      <w:rFonts w:ascii="Calibri" w:hAnsi="Calibri" w:eastAsia="宋体" w:cs="Times New Roman"/>
      <w:sz w:val="24"/>
    </w:rPr>
  </w:style>
  <w:style w:type="paragraph" w:customStyle="1" w:styleId="67">
    <w:name w:val="无间隔1"/>
    <w:basedOn w:val="1"/>
    <w:qFormat/>
    <w:uiPriority w:val="99"/>
    <w:pPr>
      <w:widowControl/>
      <w:jc w:val="left"/>
    </w:pPr>
    <w:rPr>
      <w:rFonts w:ascii="Calibri" w:hAnsi="Calibri" w:eastAsia="PMingLiU" w:cs="Times New Roman"/>
      <w:kern w:val="0"/>
      <w:sz w:val="32"/>
      <w:szCs w:val="32"/>
      <w:lang w:eastAsia="en-US"/>
    </w:rPr>
  </w:style>
  <w:style w:type="paragraph" w:customStyle="1" w:styleId="68">
    <w:name w:val="WPSOffice手动目录 1"/>
    <w:qFormat/>
    <w:uiPriority w:val="0"/>
    <w:rPr>
      <w:rFonts w:ascii="Calibri" w:hAnsi="Calibri" w:eastAsia="宋体" w:cs="Times New Roman"/>
      <w:lang w:val="en-US" w:eastAsia="zh-CN" w:bidi="ar-SA"/>
    </w:rPr>
  </w:style>
  <w:style w:type="paragraph" w:customStyle="1" w:styleId="69">
    <w:name w:val="列出段落2"/>
    <w:basedOn w:val="1"/>
    <w:qFormat/>
    <w:uiPriority w:val="99"/>
    <w:pPr>
      <w:ind w:firstLine="420" w:firstLineChars="200"/>
    </w:pPr>
    <w:rPr>
      <w:rFonts w:ascii="Times New Roman" w:hAnsi="Times New Roman" w:eastAsia="宋体" w:cs="Times New Roman"/>
      <w:szCs w:val="21"/>
    </w:rPr>
  </w:style>
  <w:style w:type="paragraph" w:customStyle="1" w:styleId="70">
    <w:name w:val="列出段落1"/>
    <w:basedOn w:val="1"/>
    <w:qFormat/>
    <w:uiPriority w:val="34"/>
    <w:pPr>
      <w:ind w:firstLine="420" w:firstLineChars="200"/>
    </w:pPr>
    <w:rPr>
      <w:rFonts w:ascii="Calibri" w:hAnsi="Calibri" w:eastAsia="宋体" w:cs="Times New Roman"/>
    </w:rPr>
  </w:style>
  <w:style w:type="character" w:customStyle="1" w:styleId="71">
    <w:name w:val="font41"/>
    <w:basedOn w:val="40"/>
    <w:qFormat/>
    <w:uiPriority w:val="0"/>
    <w:rPr>
      <w:rFonts w:ascii="宋体" w:hAnsi="宋体" w:eastAsia="宋体" w:cs="宋体"/>
      <w:color w:val="000000"/>
      <w:sz w:val="21"/>
      <w:szCs w:val="21"/>
      <w:u w:val="none"/>
    </w:rPr>
  </w:style>
  <w:style w:type="character" w:customStyle="1" w:styleId="72">
    <w:name w:val="font61"/>
    <w:basedOn w:val="40"/>
    <w:qFormat/>
    <w:uiPriority w:val="0"/>
    <w:rPr>
      <w:rFonts w:ascii="宋体" w:hAnsi="宋体" w:eastAsia="宋体" w:cs="宋体"/>
      <w:color w:val="7030A0"/>
      <w:sz w:val="21"/>
      <w:szCs w:val="21"/>
      <w:u w:val="none"/>
    </w:rPr>
  </w:style>
  <w:style w:type="character" w:customStyle="1" w:styleId="73">
    <w:name w:val="font71"/>
    <w:basedOn w:val="40"/>
    <w:qFormat/>
    <w:uiPriority w:val="0"/>
    <w:rPr>
      <w:rFonts w:ascii="等线" w:hAnsi="等线" w:eastAsia="等线" w:cs="等线"/>
      <w:color w:val="000000"/>
      <w:sz w:val="21"/>
      <w:szCs w:val="21"/>
      <w:u w:val="none"/>
    </w:rPr>
  </w:style>
  <w:style w:type="character" w:customStyle="1" w:styleId="74">
    <w:name w:val="文档结构图 字符"/>
    <w:basedOn w:val="40"/>
    <w:link w:val="13"/>
    <w:qFormat/>
    <w:uiPriority w:val="0"/>
    <w:rPr>
      <w:rFonts w:ascii="宋体" w:hAnsi="宋体"/>
      <w:sz w:val="24"/>
      <w:szCs w:val="24"/>
      <w:shd w:val="clear" w:color="auto" w:fill="000080"/>
    </w:rPr>
  </w:style>
  <w:style w:type="character" w:customStyle="1" w:styleId="75">
    <w:name w:val="正文文本缩进 字符"/>
    <w:basedOn w:val="40"/>
    <w:link w:val="16"/>
    <w:qFormat/>
    <w:uiPriority w:val="0"/>
    <w:rPr>
      <w:rFonts w:ascii="宋体" w:hAnsi="宋体" w:eastAsia="宋体" w:cs="宋体"/>
      <w:sz w:val="24"/>
    </w:rPr>
  </w:style>
  <w:style w:type="character" w:customStyle="1" w:styleId="76">
    <w:name w:val="纯文本 字符"/>
    <w:basedOn w:val="40"/>
    <w:link w:val="19"/>
    <w:qFormat/>
    <w:uiPriority w:val="0"/>
    <w:rPr>
      <w:rFonts w:ascii="宋体" w:hAnsi="Courier New" w:eastAsia="宋体" w:cs="Courier New"/>
      <w:sz w:val="24"/>
      <w:szCs w:val="21"/>
    </w:rPr>
  </w:style>
  <w:style w:type="character" w:customStyle="1" w:styleId="77">
    <w:name w:val="正文文本缩进 2 字符"/>
    <w:basedOn w:val="40"/>
    <w:link w:val="22"/>
    <w:qFormat/>
    <w:uiPriority w:val="0"/>
    <w:rPr>
      <w:rFonts w:ascii="宋体" w:hAnsi="宋体" w:eastAsia="仿宋_GB2312" w:cs="宋体"/>
      <w:sz w:val="32"/>
      <w:szCs w:val="24"/>
    </w:rPr>
  </w:style>
  <w:style w:type="character" w:customStyle="1" w:styleId="78">
    <w:name w:val="正文文本缩进 3 字符"/>
    <w:basedOn w:val="40"/>
    <w:link w:val="30"/>
    <w:qFormat/>
    <w:uiPriority w:val="0"/>
    <w:rPr>
      <w:rFonts w:ascii="宋体" w:hAnsi="宋体" w:eastAsia="宋体" w:cs="宋体"/>
      <w:sz w:val="24"/>
      <w:szCs w:val="24"/>
    </w:rPr>
  </w:style>
  <w:style w:type="character" w:customStyle="1" w:styleId="79">
    <w:name w:val="正文文本 2 字符"/>
    <w:basedOn w:val="40"/>
    <w:link w:val="33"/>
    <w:qFormat/>
    <w:uiPriority w:val="0"/>
    <w:rPr>
      <w:rFonts w:ascii="楷体_GB2312" w:hAnsi="宋体" w:eastAsia="楷体_GB2312" w:cs="宋体"/>
      <w:color w:val="000000"/>
      <w:sz w:val="24"/>
      <w:szCs w:val="21"/>
    </w:rPr>
  </w:style>
  <w:style w:type="character" w:customStyle="1" w:styleId="80">
    <w:name w:val="批注文字 Char1"/>
    <w:basedOn w:val="40"/>
    <w:qFormat/>
    <w:uiPriority w:val="0"/>
    <w:rPr>
      <w:rFonts w:ascii="Times New Roman" w:hAnsi="Times New Roman" w:eastAsia="宋体" w:cs="Times New Roman"/>
      <w:szCs w:val="24"/>
    </w:rPr>
  </w:style>
  <w:style w:type="character" w:customStyle="1" w:styleId="81">
    <w:name w:val="文档结构图 Char1"/>
    <w:basedOn w:val="40"/>
    <w:qFormat/>
    <w:uiPriority w:val="0"/>
    <w:rPr>
      <w:rFonts w:ascii="宋体" w:hAnsi="Times New Roman" w:eastAsia="宋体" w:cs="Times New Roman"/>
      <w:sz w:val="18"/>
      <w:szCs w:val="18"/>
    </w:rPr>
  </w:style>
  <w:style w:type="character" w:customStyle="1" w:styleId="82">
    <w:name w:val="日期 Char1"/>
    <w:basedOn w:val="40"/>
    <w:qFormat/>
    <w:uiPriority w:val="0"/>
    <w:rPr>
      <w:rFonts w:ascii="Times New Roman" w:hAnsi="Times New Roman" w:eastAsia="宋体" w:cs="Times New Roman"/>
      <w:szCs w:val="24"/>
    </w:rPr>
  </w:style>
  <w:style w:type="paragraph" w:customStyle="1" w:styleId="83">
    <w:name w:val="修订1"/>
    <w:hidden/>
    <w:qFormat/>
    <w:uiPriority w:val="71"/>
    <w:rPr>
      <w:rFonts w:ascii="Times New Roman" w:hAnsi="Times New Roman" w:eastAsia="宋体" w:cs="Times New Roman"/>
      <w:kern w:val="2"/>
      <w:sz w:val="21"/>
      <w:szCs w:val="24"/>
      <w:lang w:val="en-US" w:eastAsia="zh-CN" w:bidi="ar-SA"/>
    </w:rPr>
  </w:style>
  <w:style w:type="paragraph" w:customStyle="1" w:styleId="84">
    <w:name w:val="Char"/>
    <w:basedOn w:val="1"/>
    <w:qFormat/>
    <w:uiPriority w:val="0"/>
    <w:pPr>
      <w:widowControl/>
      <w:tabs>
        <w:tab w:val="left" w:pos="360"/>
      </w:tabs>
      <w:jc w:val="left"/>
    </w:pPr>
    <w:rPr>
      <w:rFonts w:ascii="宋体" w:hAnsi="宋体" w:eastAsia="宋体" w:cs="宋体"/>
      <w:kern w:val="0"/>
      <w:sz w:val="24"/>
      <w:szCs w:val="24"/>
    </w:rPr>
  </w:style>
  <w:style w:type="paragraph" w:customStyle="1" w:styleId="85">
    <w:name w:val="彩色列表 - 强调文字颜色 11"/>
    <w:basedOn w:val="1"/>
    <w:qFormat/>
    <w:uiPriority w:val="0"/>
    <w:pPr>
      <w:widowControl/>
      <w:ind w:firstLine="420" w:firstLineChars="200"/>
      <w:jc w:val="left"/>
    </w:pPr>
    <w:rPr>
      <w:rFonts w:ascii="Calibri" w:hAnsi="Calibri" w:eastAsia="宋体" w:cs="宋体"/>
      <w:kern w:val="0"/>
      <w:sz w:val="24"/>
    </w:rPr>
  </w:style>
  <w:style w:type="paragraph" w:customStyle="1" w:styleId="86">
    <w:name w:val="Char Char Char Char"/>
    <w:basedOn w:val="1"/>
    <w:qFormat/>
    <w:uiPriority w:val="0"/>
    <w:pPr>
      <w:widowControl/>
      <w:tabs>
        <w:tab w:val="left" w:pos="360"/>
      </w:tabs>
      <w:jc w:val="left"/>
    </w:pPr>
    <w:rPr>
      <w:rFonts w:ascii="宋体" w:hAnsi="宋体" w:eastAsia="宋体" w:cs="宋体"/>
      <w:kern w:val="0"/>
      <w:sz w:val="24"/>
      <w:szCs w:val="24"/>
    </w:rPr>
  </w:style>
  <w:style w:type="paragraph" w:customStyle="1" w:styleId="87">
    <w:name w:val="Char1"/>
    <w:basedOn w:val="1"/>
    <w:qFormat/>
    <w:uiPriority w:val="0"/>
    <w:pPr>
      <w:widowControl/>
      <w:tabs>
        <w:tab w:val="left" w:pos="360"/>
      </w:tabs>
      <w:jc w:val="left"/>
    </w:pPr>
    <w:rPr>
      <w:rFonts w:ascii="宋体" w:hAnsi="宋体" w:eastAsia="宋体" w:cs="宋体"/>
      <w:kern w:val="0"/>
      <w:sz w:val="24"/>
      <w:szCs w:val="24"/>
    </w:rPr>
  </w:style>
  <w:style w:type="character" w:customStyle="1" w:styleId="88">
    <w:name w:val="defaultfont1"/>
    <w:basedOn w:val="40"/>
    <w:qFormat/>
    <w:uiPriority w:val="0"/>
  </w:style>
  <w:style w:type="character" w:customStyle="1" w:styleId="89">
    <w:name w:val="Char Char16"/>
    <w:qFormat/>
    <w:uiPriority w:val="0"/>
    <w:rPr>
      <w:rFonts w:ascii="华文细黑" w:hAnsi="Arial" w:eastAsia="宋体"/>
      <w:b/>
      <w:bCs/>
      <w:sz w:val="44"/>
      <w:szCs w:val="32"/>
      <w:lang w:val="en-US" w:eastAsia="zh-CN" w:bidi="ar-SA"/>
    </w:rPr>
  </w:style>
  <w:style w:type="character" w:customStyle="1" w:styleId="90">
    <w:name w:val="正文文本 (32) + 10.5 pt5"/>
    <w:qFormat/>
    <w:uiPriority w:val="99"/>
    <w:rPr>
      <w:rFonts w:ascii="MingLiU" w:eastAsia="MingLiU" w:cs="MingLiU"/>
      <w:sz w:val="21"/>
      <w:szCs w:val="21"/>
      <w:u w:val="none"/>
    </w:rPr>
  </w:style>
  <w:style w:type="character" w:customStyle="1" w:styleId="91">
    <w:name w:val="正文文本 (2)_"/>
    <w:link w:val="92"/>
    <w:qFormat/>
    <w:uiPriority w:val="99"/>
    <w:rPr>
      <w:rFonts w:ascii="MingLiU" w:eastAsia="MingLiU" w:cs="MingLiU"/>
      <w:spacing w:val="20"/>
      <w:sz w:val="19"/>
      <w:szCs w:val="19"/>
      <w:shd w:val="clear" w:color="auto" w:fill="FFFFFF"/>
    </w:rPr>
  </w:style>
  <w:style w:type="paragraph" w:customStyle="1" w:styleId="92">
    <w:name w:val="正文文本 (2)1"/>
    <w:basedOn w:val="1"/>
    <w:link w:val="91"/>
    <w:qFormat/>
    <w:uiPriority w:val="99"/>
    <w:pPr>
      <w:widowControl/>
      <w:shd w:val="clear" w:color="auto" w:fill="FFFFFF"/>
      <w:spacing w:after="1320" w:line="240" w:lineRule="atLeast"/>
      <w:jc w:val="left"/>
    </w:pPr>
    <w:rPr>
      <w:rFonts w:ascii="MingLiU" w:eastAsia="MingLiU" w:cs="MingLiU"/>
      <w:spacing w:val="20"/>
      <w:kern w:val="0"/>
      <w:sz w:val="19"/>
      <w:szCs w:val="19"/>
    </w:rPr>
  </w:style>
  <w:style w:type="character" w:customStyle="1" w:styleId="93">
    <w:name w:val="正文文本 (32) + 10.5 pt"/>
    <w:qFormat/>
    <w:uiPriority w:val="99"/>
    <w:rPr>
      <w:rFonts w:ascii="MingLiU" w:eastAsia="MingLiU" w:cs="MingLiU"/>
      <w:sz w:val="21"/>
      <w:szCs w:val="21"/>
      <w:u w:val="none"/>
    </w:rPr>
  </w:style>
  <w:style w:type="character" w:customStyle="1" w:styleId="94">
    <w:name w:val="正文文本 (2) + 6 pt"/>
    <w:qFormat/>
    <w:uiPriority w:val="99"/>
    <w:rPr>
      <w:rFonts w:ascii="MingLiU" w:eastAsia="MingLiU" w:cs="MingLiU"/>
      <w:spacing w:val="0"/>
      <w:sz w:val="12"/>
      <w:szCs w:val="12"/>
      <w:u w:val="none"/>
      <w:shd w:val="clear" w:color="auto" w:fill="FFFFFF"/>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reader-word-layer reader-word-s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Normal_3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01">
    <w:name w:val="Table Grid_0"/>
    <w:basedOn w:val="38"/>
    <w:qFormat/>
    <w:uiPriority w:val="59"/>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D8880B18-7507-4096-AE4C-2DFA74269F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12340</Words>
  <Characters>12865</Characters>
  <Lines>115</Lines>
  <Paragraphs>32</Paragraphs>
  <TotalTime>175</TotalTime>
  <ScaleCrop>false</ScaleCrop>
  <LinksUpToDate>false</LinksUpToDate>
  <CharactersWithSpaces>13073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2024-01-09T07:20:00Z</dcterms:created>
  <dc:creator>Tencent</dc:creator>
  <cp:lastModifiedBy>WPS_Linxl</cp:lastModifiedBy>
  <dcterms:modified xsi:type="dcterms:W3CDTF">2025-11-06T01:26:10Z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09BFF0D46EB94CF194A7E3B87348503E_13</vt:lpwstr>
  </property>
  <property fmtid="{D5CDD505-2E9C-101B-9397-08002B2CF9AE}" pid="4" name="KSOTemplateDocerSaveRecord">
    <vt:lpwstr>eyJoZGlkIjoiNjEwOWZmMTBiNzdkOTRjZGQ1NGMxMzUzMmUyMmRiODkiLCJ1c2VySWQiOiIxMzgyNTgzMzQ2In0=</vt:lpwstr>
  </property>
</Properties>
</file>